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8632" w14:textId="3D9E814D" w:rsidR="002F4B7F" w:rsidRDefault="002F4B7F" w:rsidP="002F4B7F">
      <w:pPr>
        <w:spacing w:after="0" w:line="240" w:lineRule="auto"/>
        <w:jc w:val="right"/>
      </w:pPr>
      <w:r>
        <w:rPr>
          <w:rFonts w:eastAsia="Times New Roman" w:cs="Times New Roman"/>
          <w:b/>
          <w:color w:val="4F81BD"/>
        </w:rPr>
        <w:t>Original Article</w:t>
      </w:r>
    </w:p>
    <w:p w14:paraId="0F1C435C" w14:textId="77777777" w:rsidR="002F4B7F" w:rsidRPr="009C71B7" w:rsidRDefault="002F4B7F" w:rsidP="00362396">
      <w:pPr>
        <w:spacing w:after="0" w:line="240" w:lineRule="auto"/>
        <w:jc w:val="right"/>
        <w:rPr>
          <w:rFonts w:cs="Times New Roman"/>
          <w:b/>
          <w:bCs/>
          <w:iCs/>
          <w:color w:val="1F497D" w:themeColor="text2"/>
          <w:sz w:val="32"/>
          <w:szCs w:val="32"/>
        </w:rPr>
      </w:pPr>
    </w:p>
    <w:p w14:paraId="7F176DEA" w14:textId="77777777" w:rsidR="00AA1700" w:rsidRDefault="00000000" w:rsidP="002F4B7F">
      <w:pPr>
        <w:spacing w:after="0" w:line="240" w:lineRule="auto"/>
        <w:jc w:val="center"/>
        <w:rPr>
          <w:rFonts w:cs="Times New Roman"/>
          <w:b/>
          <w:color w:val="000000" w:themeColor="text1"/>
          <w:sz w:val="32"/>
          <w:szCs w:val="32"/>
        </w:rPr>
      </w:pPr>
      <w:r w:rsidRPr="00362396">
        <w:rPr>
          <w:rFonts w:cs="Times New Roman"/>
          <w:b/>
          <w:color w:val="000000" w:themeColor="text1"/>
          <w:sz w:val="32"/>
          <w:szCs w:val="32"/>
        </w:rPr>
        <w:t>Baseline characterization of salt-making practices and constraints in selected Philippine coastal provinces</w:t>
      </w:r>
    </w:p>
    <w:p w14:paraId="7566941C" w14:textId="77777777" w:rsidR="002F4B7F" w:rsidRPr="002F4B7F" w:rsidRDefault="002F4B7F" w:rsidP="00362396">
      <w:pPr>
        <w:spacing w:after="0" w:line="240" w:lineRule="auto"/>
        <w:jc w:val="center"/>
        <w:rPr>
          <w:rFonts w:cs="Times New Roman"/>
          <w:color w:val="000000" w:themeColor="text1"/>
          <w:szCs w:val="20"/>
        </w:rPr>
      </w:pPr>
    </w:p>
    <w:p w14:paraId="514F3A43" w14:textId="52423D3F" w:rsidR="00B2507A" w:rsidRPr="00362396" w:rsidRDefault="00CB6B38" w:rsidP="002F4B7F">
      <w:pPr>
        <w:spacing w:after="0" w:line="240" w:lineRule="auto"/>
        <w:jc w:val="center"/>
        <w:rPr>
          <w:rFonts w:eastAsia="Times New Roman" w:cs="Times New Roman"/>
          <w:b/>
          <w:bCs/>
          <w:color w:val="000000" w:themeColor="text1"/>
          <w:szCs w:val="20"/>
          <w:vertAlign w:val="superscript"/>
        </w:rPr>
      </w:pPr>
      <w:r w:rsidRPr="00362396">
        <w:rPr>
          <w:rFonts w:eastAsia="Times New Roman" w:cs="Times New Roman"/>
          <w:b/>
          <w:bCs/>
          <w:color w:val="000000" w:themeColor="text1"/>
          <w:szCs w:val="20"/>
        </w:rPr>
        <w:t xml:space="preserve">Nathaniel R. </w:t>
      </w:r>
      <w:r w:rsidR="00B2507A" w:rsidRPr="00362396">
        <w:rPr>
          <w:rFonts w:eastAsia="Times New Roman" w:cs="Times New Roman"/>
          <w:b/>
          <w:bCs/>
          <w:color w:val="000000" w:themeColor="text1"/>
          <w:szCs w:val="20"/>
        </w:rPr>
        <w:t>Alibuyog</w:t>
      </w:r>
      <w:r w:rsidR="00B2507A" w:rsidRPr="00362396">
        <w:rPr>
          <w:rFonts w:eastAsia="Times New Roman" w:cs="Times New Roman"/>
          <w:b/>
          <w:bCs/>
          <w:color w:val="000000" w:themeColor="text1"/>
          <w:szCs w:val="20"/>
          <w:vertAlign w:val="superscript"/>
        </w:rPr>
        <w:t>1</w:t>
      </w:r>
      <w:r w:rsidR="00A5117F" w:rsidRPr="00362396">
        <w:rPr>
          <w:rFonts w:eastAsia="Times New Roman" w:cs="Times New Roman"/>
          <w:b/>
          <w:bCs/>
          <w:color w:val="000000" w:themeColor="text1"/>
          <w:szCs w:val="20"/>
        </w:rPr>
        <w:t>*</w:t>
      </w:r>
      <w:r w:rsidR="00F63A90" w:rsidRPr="00F62678">
        <w:rPr>
          <w:rFonts w:cs="Times New Roman"/>
          <w:noProof/>
        </w:rPr>
        <w:drawing>
          <wp:inline distT="0" distB="0" distL="0" distR="0" wp14:anchorId="46A81E8F" wp14:editId="1101945E">
            <wp:extent cx="91440" cy="91440"/>
            <wp:effectExtent l="0" t="0" r="3810" b="3810"/>
            <wp:docPr id="1778149178" name="Picture 1778149178">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778149178" name="Picture 1778149178">
                      <a:hlinkClick r:id="rId8"/>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Rodel T. </w:t>
      </w:r>
      <w:r w:rsidR="00B2507A" w:rsidRPr="00362396">
        <w:rPr>
          <w:rFonts w:eastAsia="Times New Roman" w:cs="Times New Roman"/>
          <w:b/>
          <w:bCs/>
          <w:color w:val="000000" w:themeColor="text1"/>
          <w:szCs w:val="20"/>
        </w:rPr>
        <w:t>Utrera</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1C59C28F" wp14:editId="1B4E227B">
            <wp:extent cx="91440" cy="91440"/>
            <wp:effectExtent l="0" t="0" r="3810" b="3810"/>
            <wp:docPr id="1174748413" name="Picture 1174748413">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1174748413" name="Picture 1174748413">
                      <a:hlinkClick r:id="rId10"/>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Sherlyn B. </w:t>
      </w:r>
      <w:r w:rsidR="00B2507A" w:rsidRPr="00362396">
        <w:rPr>
          <w:rFonts w:eastAsia="Times New Roman" w:cs="Times New Roman"/>
          <w:b/>
          <w:bCs/>
          <w:color w:val="000000" w:themeColor="text1"/>
          <w:szCs w:val="20"/>
        </w:rPr>
        <w:t>Nicolas</w:t>
      </w:r>
      <w:r w:rsidR="00A5117F" w:rsidRPr="00362396">
        <w:rPr>
          <w:rFonts w:eastAsia="Times New Roman" w:cs="Times New Roman"/>
          <w:b/>
          <w:bCs/>
          <w:color w:val="000000" w:themeColor="text1"/>
          <w:szCs w:val="20"/>
          <w:vertAlign w:val="superscript"/>
        </w:rPr>
        <w:t>2</w:t>
      </w:r>
      <w:r w:rsidR="00F63A90" w:rsidRPr="00F62678">
        <w:rPr>
          <w:rFonts w:cs="Times New Roman"/>
          <w:noProof/>
        </w:rPr>
        <w:drawing>
          <wp:inline distT="0" distB="0" distL="0" distR="0" wp14:anchorId="13778252" wp14:editId="020AC45F">
            <wp:extent cx="91440" cy="91440"/>
            <wp:effectExtent l="0" t="0" r="3810" b="3810"/>
            <wp:docPr id="1313404748" name="Picture 1313404748">
              <a:hlinkClick xmlns:a="http://schemas.openxmlformats.org/drawingml/2006/main" r:id="rId11"/>
            </wp:docPr>
            <wp:cNvGraphicFramePr/>
            <a:graphic xmlns:a="http://schemas.openxmlformats.org/drawingml/2006/main">
              <a:graphicData uri="http://schemas.openxmlformats.org/drawingml/2006/picture">
                <pic:pic xmlns:pic="http://schemas.openxmlformats.org/drawingml/2006/picture">
                  <pic:nvPicPr>
                    <pic:cNvPr id="1313404748" name="Picture 1313404748">
                      <a:hlinkClick r:id="rId11"/>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Cristina D. </w:t>
      </w:r>
      <w:r w:rsidR="00B2507A" w:rsidRPr="00362396">
        <w:rPr>
          <w:rFonts w:eastAsia="Times New Roman" w:cs="Times New Roman"/>
          <w:b/>
          <w:bCs/>
          <w:color w:val="000000" w:themeColor="text1"/>
          <w:szCs w:val="20"/>
        </w:rPr>
        <w:t>Valentin</w:t>
      </w:r>
      <w:r w:rsidR="00A5117F" w:rsidRPr="00362396">
        <w:rPr>
          <w:rFonts w:eastAsia="Times New Roman" w:cs="Times New Roman"/>
          <w:b/>
          <w:bCs/>
          <w:color w:val="000000" w:themeColor="text1"/>
          <w:szCs w:val="20"/>
          <w:vertAlign w:val="superscript"/>
        </w:rPr>
        <w:t>3</w:t>
      </w:r>
      <w:r w:rsidR="00F63A90" w:rsidRPr="00F62678">
        <w:rPr>
          <w:rFonts w:cs="Times New Roman"/>
          <w:noProof/>
        </w:rPr>
        <w:drawing>
          <wp:inline distT="0" distB="0" distL="0" distR="0" wp14:anchorId="5CC5937D" wp14:editId="7CB1DDE6">
            <wp:extent cx="91440" cy="91440"/>
            <wp:effectExtent l="0" t="0" r="3810" b="3810"/>
            <wp:docPr id="1513769724" name="Picture 1513769724">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513769724" name="Picture 1513769724">
                      <a:hlinkClick r:id="rId12"/>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Floramante C. </w:t>
      </w:r>
      <w:r w:rsidR="00B2507A" w:rsidRPr="00362396">
        <w:rPr>
          <w:rFonts w:eastAsia="Times New Roman" w:cs="Times New Roman"/>
          <w:b/>
          <w:bCs/>
          <w:color w:val="000000" w:themeColor="text1"/>
          <w:szCs w:val="20"/>
        </w:rPr>
        <w:t>Pastor</w:t>
      </w:r>
      <w:r w:rsidR="00A5117F" w:rsidRPr="00362396">
        <w:rPr>
          <w:rFonts w:eastAsia="Times New Roman" w:cs="Times New Roman"/>
          <w:b/>
          <w:bCs/>
          <w:color w:val="000000" w:themeColor="text1"/>
          <w:szCs w:val="20"/>
          <w:vertAlign w:val="superscript"/>
        </w:rPr>
        <w:t>4</w:t>
      </w:r>
      <w:r w:rsidR="00F63A90" w:rsidRPr="00F62678">
        <w:rPr>
          <w:rFonts w:cs="Times New Roman"/>
          <w:noProof/>
        </w:rPr>
        <w:drawing>
          <wp:inline distT="0" distB="0" distL="0" distR="0" wp14:anchorId="6C3F2EF4" wp14:editId="787265D9">
            <wp:extent cx="91440" cy="91440"/>
            <wp:effectExtent l="0" t="0" r="3810" b="3810"/>
            <wp:docPr id="577521677" name="Picture 577521677">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577521677" name="Picture 577521677">
                      <a:hlinkClick r:id="rId13"/>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Joemel G. </w:t>
      </w:r>
      <w:r w:rsidR="00B2507A" w:rsidRPr="00362396">
        <w:rPr>
          <w:rFonts w:eastAsia="Times New Roman" w:cs="Times New Roman"/>
          <w:b/>
          <w:bCs/>
          <w:color w:val="000000" w:themeColor="text1"/>
          <w:szCs w:val="20"/>
        </w:rPr>
        <w:t>Agreda</w:t>
      </w:r>
      <w:r w:rsidR="00377EE3">
        <w:rPr>
          <w:rFonts w:eastAsia="Times New Roman" w:cs="Times New Roman"/>
          <w:b/>
          <w:bCs/>
          <w:color w:val="000000" w:themeColor="text1"/>
          <w:szCs w:val="20"/>
          <w:vertAlign w:val="superscript"/>
        </w:rPr>
        <w:t>5</w:t>
      </w:r>
      <w:r w:rsidR="00F63A90" w:rsidRPr="00F62678">
        <w:rPr>
          <w:rFonts w:cs="Times New Roman"/>
          <w:noProof/>
        </w:rPr>
        <w:drawing>
          <wp:inline distT="0" distB="0" distL="0" distR="0" wp14:anchorId="277163C0" wp14:editId="068B507E">
            <wp:extent cx="91440" cy="91440"/>
            <wp:effectExtent l="0" t="0" r="3810" b="3810"/>
            <wp:docPr id="1977321959" name="Picture 1977321959">
              <a:hlinkClick xmlns:a="http://schemas.openxmlformats.org/drawingml/2006/main" r:id="rId14"/>
            </wp:docPr>
            <wp:cNvGraphicFramePr/>
            <a:graphic xmlns:a="http://schemas.openxmlformats.org/drawingml/2006/main">
              <a:graphicData uri="http://schemas.openxmlformats.org/drawingml/2006/picture">
                <pic:pic xmlns:pic="http://schemas.openxmlformats.org/drawingml/2006/picture">
                  <pic:nvPicPr>
                    <pic:cNvPr id="1977321959" name="Picture 1977321959">
                      <a:hlinkClick r:id="rId14"/>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Julius Jonar L. </w:t>
      </w:r>
      <w:r w:rsidR="00B2507A" w:rsidRPr="00362396">
        <w:rPr>
          <w:rFonts w:eastAsia="Times New Roman" w:cs="Times New Roman"/>
          <w:b/>
          <w:bCs/>
          <w:color w:val="000000" w:themeColor="text1"/>
          <w:szCs w:val="20"/>
        </w:rPr>
        <w:t>Butay</w:t>
      </w:r>
      <w:r w:rsidR="00B2507A"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49FBFD3D" wp14:editId="1A050061">
            <wp:extent cx="91440" cy="91440"/>
            <wp:effectExtent l="0" t="0" r="3810" b="3810"/>
            <wp:docPr id="2103403917" name="Picture 2103403917">
              <a:hlinkClick xmlns:a="http://schemas.openxmlformats.org/drawingml/2006/main" r:id="rId15"/>
            </wp:docPr>
            <wp:cNvGraphicFramePr/>
            <a:graphic xmlns:a="http://schemas.openxmlformats.org/drawingml/2006/main">
              <a:graphicData uri="http://schemas.openxmlformats.org/drawingml/2006/picture">
                <pic:pic xmlns:pic="http://schemas.openxmlformats.org/drawingml/2006/picture">
                  <pic:nvPicPr>
                    <pic:cNvPr id="2103403917" name="Picture 2103403917">
                      <a:hlinkClick r:id="rId15"/>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Lea C. </w:t>
      </w:r>
      <w:r w:rsidR="00B2507A" w:rsidRPr="00362396">
        <w:rPr>
          <w:rFonts w:eastAsia="Times New Roman" w:cs="Times New Roman"/>
          <w:b/>
          <w:bCs/>
          <w:color w:val="000000" w:themeColor="text1"/>
          <w:szCs w:val="20"/>
        </w:rPr>
        <w:t>Agbigay</w:t>
      </w:r>
      <w:r w:rsidR="00A5117F" w:rsidRPr="00362396">
        <w:rPr>
          <w:rFonts w:eastAsia="Times New Roman" w:cs="Times New Roman"/>
          <w:b/>
          <w:bCs/>
          <w:color w:val="000000" w:themeColor="text1"/>
          <w:szCs w:val="20"/>
          <w:vertAlign w:val="superscript"/>
        </w:rPr>
        <w:t>2</w:t>
      </w:r>
      <w:r w:rsidR="00F63A90" w:rsidRPr="00F62678">
        <w:rPr>
          <w:rFonts w:cs="Times New Roman"/>
          <w:noProof/>
        </w:rPr>
        <w:drawing>
          <wp:inline distT="0" distB="0" distL="0" distR="0" wp14:anchorId="2A3C247A" wp14:editId="410C3EBB">
            <wp:extent cx="91440" cy="91440"/>
            <wp:effectExtent l="0" t="0" r="3810" b="3810"/>
            <wp:docPr id="443958484" name="Picture 443958484">
              <a:hlinkClick xmlns:a="http://schemas.openxmlformats.org/drawingml/2006/main" r:id="rId16"/>
            </wp:docPr>
            <wp:cNvGraphicFramePr/>
            <a:graphic xmlns:a="http://schemas.openxmlformats.org/drawingml/2006/main">
              <a:graphicData uri="http://schemas.openxmlformats.org/drawingml/2006/picture">
                <pic:pic xmlns:pic="http://schemas.openxmlformats.org/drawingml/2006/picture">
                  <pic:nvPicPr>
                    <pic:cNvPr id="443958484" name="Picture 443958484">
                      <a:hlinkClick r:id="rId16"/>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Constante B. </w:t>
      </w:r>
      <w:r w:rsidR="00B2507A" w:rsidRPr="00362396">
        <w:rPr>
          <w:rFonts w:eastAsia="Times New Roman" w:cs="Times New Roman"/>
          <w:b/>
          <w:bCs/>
          <w:color w:val="000000" w:themeColor="text1"/>
          <w:szCs w:val="20"/>
        </w:rPr>
        <w:t>Julian</w:t>
      </w:r>
      <w:r w:rsidR="00A5117F" w:rsidRPr="00362396">
        <w:rPr>
          <w:rFonts w:eastAsia="Times New Roman" w:cs="Times New Roman"/>
          <w:b/>
          <w:bCs/>
          <w:color w:val="000000" w:themeColor="text1"/>
          <w:szCs w:val="20"/>
          <w:vertAlign w:val="superscript"/>
        </w:rPr>
        <w:t>2</w:t>
      </w:r>
      <w:r w:rsidR="00F63A90" w:rsidRPr="00F62678">
        <w:rPr>
          <w:rFonts w:cs="Times New Roman"/>
          <w:noProof/>
        </w:rPr>
        <w:drawing>
          <wp:inline distT="0" distB="0" distL="0" distR="0" wp14:anchorId="18B05FCE" wp14:editId="710B222E">
            <wp:extent cx="91440" cy="91440"/>
            <wp:effectExtent l="0" t="0" r="3810" b="3810"/>
            <wp:docPr id="1051656835" name="Picture 1051656835">
              <a:hlinkClick xmlns:a="http://schemas.openxmlformats.org/drawingml/2006/main" r:id="rId17"/>
            </wp:docPr>
            <wp:cNvGraphicFramePr/>
            <a:graphic xmlns:a="http://schemas.openxmlformats.org/drawingml/2006/main">
              <a:graphicData uri="http://schemas.openxmlformats.org/drawingml/2006/picture">
                <pic:pic xmlns:pic="http://schemas.openxmlformats.org/drawingml/2006/picture">
                  <pic:nvPicPr>
                    <pic:cNvPr id="1051656835" name="Picture 1051656835">
                      <a:hlinkClick r:id="rId17"/>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w:t>
      </w:r>
      <w:r w:rsidRPr="00362396">
        <w:rPr>
          <w:rFonts w:eastAsia="Times New Roman" w:cs="Times New Roman"/>
          <w:b/>
          <w:bCs/>
          <w:color w:val="000000" w:themeColor="text1"/>
          <w:szCs w:val="20"/>
        </w:rPr>
        <w:t xml:space="preserve"> Josefa</w:t>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L. </w:t>
      </w:r>
      <w:r w:rsidR="00B2507A" w:rsidRPr="00362396">
        <w:rPr>
          <w:rFonts w:eastAsia="Times New Roman" w:cs="Times New Roman"/>
          <w:b/>
          <w:bCs/>
          <w:color w:val="000000" w:themeColor="text1"/>
          <w:szCs w:val="20"/>
        </w:rPr>
        <w:t>Pugat</w:t>
      </w:r>
      <w:r w:rsidR="00A5117F" w:rsidRPr="00362396">
        <w:rPr>
          <w:rFonts w:eastAsia="Times New Roman" w:cs="Times New Roman"/>
          <w:b/>
          <w:bCs/>
          <w:color w:val="000000" w:themeColor="text1"/>
          <w:szCs w:val="20"/>
          <w:vertAlign w:val="superscript"/>
        </w:rPr>
        <w:t>2</w:t>
      </w:r>
      <w:r w:rsidR="00F63A90" w:rsidRPr="00F62678">
        <w:rPr>
          <w:rFonts w:cs="Times New Roman"/>
          <w:noProof/>
        </w:rPr>
        <w:drawing>
          <wp:inline distT="0" distB="0" distL="0" distR="0" wp14:anchorId="3FE90754" wp14:editId="1AB79C68">
            <wp:extent cx="91440" cy="91440"/>
            <wp:effectExtent l="0" t="0" r="3810" b="3810"/>
            <wp:docPr id="511003470" name="Picture 511003470">
              <a:hlinkClick xmlns:a="http://schemas.openxmlformats.org/drawingml/2006/main" r:id="rId18"/>
            </wp:docPr>
            <wp:cNvGraphicFramePr/>
            <a:graphic xmlns:a="http://schemas.openxmlformats.org/drawingml/2006/main">
              <a:graphicData uri="http://schemas.openxmlformats.org/drawingml/2006/picture">
                <pic:pic xmlns:pic="http://schemas.openxmlformats.org/drawingml/2006/picture">
                  <pic:nvPicPr>
                    <pic:cNvPr id="511003470" name="Picture 511003470">
                      <a:hlinkClick r:id="rId18"/>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Roxanne Jane O. </w:t>
      </w:r>
      <w:r w:rsidR="00377EE3" w:rsidRPr="00362396">
        <w:rPr>
          <w:rFonts w:eastAsia="Times New Roman" w:cs="Times New Roman"/>
          <w:b/>
          <w:bCs/>
          <w:color w:val="000000" w:themeColor="text1"/>
          <w:szCs w:val="20"/>
        </w:rPr>
        <w:t>Antonio</w:t>
      </w:r>
      <w:r w:rsidR="00377EE3">
        <w:rPr>
          <w:rFonts w:eastAsia="Times New Roman" w:cs="Times New Roman"/>
          <w:b/>
          <w:bCs/>
          <w:color w:val="000000" w:themeColor="text1"/>
          <w:szCs w:val="20"/>
          <w:vertAlign w:val="superscript"/>
        </w:rPr>
        <w:t>3</w:t>
      </w:r>
      <w:r w:rsidR="00F63A90" w:rsidRPr="00F62678">
        <w:rPr>
          <w:rFonts w:cs="Times New Roman"/>
          <w:noProof/>
        </w:rPr>
        <w:drawing>
          <wp:inline distT="0" distB="0" distL="0" distR="0" wp14:anchorId="4DB00988" wp14:editId="18A284EA">
            <wp:extent cx="91440" cy="91440"/>
            <wp:effectExtent l="0" t="0" r="3810" b="3810"/>
            <wp:docPr id="222906204" name="Picture 222906204">
              <a:hlinkClick xmlns:a="http://schemas.openxmlformats.org/drawingml/2006/main" r:id="rId19"/>
            </wp:docPr>
            <wp:cNvGraphicFramePr/>
            <a:graphic xmlns:a="http://schemas.openxmlformats.org/drawingml/2006/main">
              <a:graphicData uri="http://schemas.openxmlformats.org/drawingml/2006/picture">
                <pic:pic xmlns:pic="http://schemas.openxmlformats.org/drawingml/2006/picture">
                  <pic:nvPicPr>
                    <pic:cNvPr id="222906204" name="Picture 222906204">
                      <a:hlinkClick r:id="rId19"/>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Shaira Camille S. </w:t>
      </w:r>
      <w:r w:rsidR="00377EE3" w:rsidRPr="00362396">
        <w:rPr>
          <w:rFonts w:eastAsia="Times New Roman" w:cs="Times New Roman"/>
          <w:b/>
          <w:bCs/>
          <w:color w:val="000000" w:themeColor="text1"/>
          <w:szCs w:val="20"/>
        </w:rPr>
        <w:t>Buensuceso</w:t>
      </w:r>
      <w:r w:rsidR="00377EE3">
        <w:rPr>
          <w:rFonts w:eastAsia="Times New Roman" w:cs="Times New Roman"/>
          <w:b/>
          <w:bCs/>
          <w:color w:val="000000" w:themeColor="text1"/>
          <w:szCs w:val="20"/>
          <w:vertAlign w:val="superscript"/>
        </w:rPr>
        <w:t>3</w:t>
      </w:r>
      <w:r w:rsidR="00F63A90" w:rsidRPr="00F62678">
        <w:rPr>
          <w:rFonts w:cs="Times New Roman"/>
          <w:noProof/>
        </w:rPr>
        <w:drawing>
          <wp:inline distT="0" distB="0" distL="0" distR="0" wp14:anchorId="7556577C" wp14:editId="5255030E">
            <wp:extent cx="91440" cy="91440"/>
            <wp:effectExtent l="0" t="0" r="3810" b="3810"/>
            <wp:docPr id="69233723" name="Picture 69233723">
              <a:hlinkClick xmlns:a="http://schemas.openxmlformats.org/drawingml/2006/main" r:id="rId20"/>
            </wp:docPr>
            <wp:cNvGraphicFramePr/>
            <a:graphic xmlns:a="http://schemas.openxmlformats.org/drawingml/2006/main">
              <a:graphicData uri="http://schemas.openxmlformats.org/drawingml/2006/picture">
                <pic:pic xmlns:pic="http://schemas.openxmlformats.org/drawingml/2006/picture">
                  <pic:nvPicPr>
                    <pic:cNvPr id="69233723" name="Picture 69233723">
                      <a:hlinkClick r:id="rId20"/>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Maria Conception B. </w:t>
      </w:r>
      <w:r w:rsidR="00B2507A" w:rsidRPr="00362396">
        <w:rPr>
          <w:rFonts w:eastAsia="Times New Roman" w:cs="Times New Roman"/>
          <w:b/>
          <w:bCs/>
          <w:color w:val="000000" w:themeColor="text1"/>
          <w:szCs w:val="20"/>
        </w:rPr>
        <w:t>Birginias</w:t>
      </w:r>
      <w:r w:rsidR="00A5117F" w:rsidRPr="00362396">
        <w:rPr>
          <w:rFonts w:eastAsia="Times New Roman" w:cs="Times New Roman"/>
          <w:b/>
          <w:bCs/>
          <w:color w:val="000000" w:themeColor="text1"/>
          <w:szCs w:val="20"/>
          <w:vertAlign w:val="superscript"/>
        </w:rPr>
        <w:t>2</w:t>
      </w:r>
      <w:r w:rsidR="00F63A90" w:rsidRPr="00F62678">
        <w:rPr>
          <w:rFonts w:cs="Times New Roman"/>
          <w:noProof/>
        </w:rPr>
        <w:drawing>
          <wp:inline distT="0" distB="0" distL="0" distR="0" wp14:anchorId="4150CCBA" wp14:editId="2F80E56F">
            <wp:extent cx="91440" cy="91440"/>
            <wp:effectExtent l="0" t="0" r="3810" b="3810"/>
            <wp:docPr id="1800017923" name="Picture 1800017923">
              <a:hlinkClick xmlns:a="http://schemas.openxmlformats.org/drawingml/2006/main" r:id="rId21"/>
            </wp:docPr>
            <wp:cNvGraphicFramePr/>
            <a:graphic xmlns:a="http://schemas.openxmlformats.org/drawingml/2006/main">
              <a:graphicData uri="http://schemas.openxmlformats.org/drawingml/2006/picture">
                <pic:pic xmlns:pic="http://schemas.openxmlformats.org/drawingml/2006/picture">
                  <pic:nvPicPr>
                    <pic:cNvPr id="1800017923" name="Picture 1800017923">
                      <a:hlinkClick r:id="rId21"/>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Lord Ian R. </w:t>
      </w:r>
      <w:r w:rsidR="00B2507A" w:rsidRPr="00362396">
        <w:rPr>
          <w:rFonts w:eastAsia="Times New Roman" w:cs="Times New Roman"/>
          <w:b/>
          <w:bCs/>
          <w:color w:val="000000" w:themeColor="text1"/>
          <w:szCs w:val="20"/>
        </w:rPr>
        <w:t>Galano</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55D47E65" wp14:editId="75FC1DF8">
            <wp:extent cx="91440" cy="91440"/>
            <wp:effectExtent l="0" t="0" r="3810" b="3810"/>
            <wp:docPr id="1707656529" name="Picture 1707656529">
              <a:hlinkClick xmlns:a="http://schemas.openxmlformats.org/drawingml/2006/main" r:id="rId22"/>
            </wp:docPr>
            <wp:cNvGraphicFramePr/>
            <a:graphic xmlns:a="http://schemas.openxmlformats.org/drawingml/2006/main">
              <a:graphicData uri="http://schemas.openxmlformats.org/drawingml/2006/picture">
                <pic:pic xmlns:pic="http://schemas.openxmlformats.org/drawingml/2006/picture">
                  <pic:nvPicPr>
                    <pic:cNvPr id="1707656529" name="Picture 1707656529">
                      <a:hlinkClick r:id="rId22"/>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Marinique A. </w:t>
      </w:r>
      <w:r w:rsidR="00B2507A" w:rsidRPr="00362396">
        <w:rPr>
          <w:rFonts w:eastAsia="Times New Roman" w:cs="Times New Roman"/>
          <w:b/>
          <w:bCs/>
          <w:color w:val="000000" w:themeColor="text1"/>
          <w:szCs w:val="20"/>
        </w:rPr>
        <w:t>Guerrero</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27EB6739" wp14:editId="3DFE84B1">
            <wp:extent cx="91440" cy="91440"/>
            <wp:effectExtent l="0" t="0" r="3810" b="3810"/>
            <wp:docPr id="2131773300" name="Picture 2131773300">
              <a:hlinkClick xmlns:a="http://schemas.openxmlformats.org/drawingml/2006/main" r:id="rId23"/>
            </wp:docPr>
            <wp:cNvGraphicFramePr/>
            <a:graphic xmlns:a="http://schemas.openxmlformats.org/drawingml/2006/main">
              <a:graphicData uri="http://schemas.openxmlformats.org/drawingml/2006/picture">
                <pic:pic xmlns:pic="http://schemas.openxmlformats.org/drawingml/2006/picture">
                  <pic:nvPicPr>
                    <pic:cNvPr id="2131773300" name="Picture 2131773300">
                      <a:hlinkClick r:id="rId23"/>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Nadine Sharinette R. </w:t>
      </w:r>
      <w:r w:rsidR="00B2507A" w:rsidRPr="00362396">
        <w:rPr>
          <w:rFonts w:eastAsia="Times New Roman" w:cs="Times New Roman"/>
          <w:b/>
          <w:bCs/>
          <w:color w:val="000000" w:themeColor="text1"/>
          <w:szCs w:val="20"/>
        </w:rPr>
        <w:t>Bravo</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136D5ABE" wp14:editId="00385839">
            <wp:extent cx="91440" cy="91440"/>
            <wp:effectExtent l="0" t="0" r="3810" b="3810"/>
            <wp:docPr id="502261996" name="Picture 502261996">
              <a:hlinkClick xmlns:a="http://schemas.openxmlformats.org/drawingml/2006/main" r:id="rId24"/>
            </wp:docPr>
            <wp:cNvGraphicFramePr/>
            <a:graphic xmlns:a="http://schemas.openxmlformats.org/drawingml/2006/main">
              <a:graphicData uri="http://schemas.openxmlformats.org/drawingml/2006/picture">
                <pic:pic xmlns:pic="http://schemas.openxmlformats.org/drawingml/2006/picture">
                  <pic:nvPicPr>
                    <pic:cNvPr id="502261996" name="Picture 502261996">
                      <a:hlinkClick r:id="rId24"/>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Augustin B. </w:t>
      </w:r>
      <w:r w:rsidR="00B2507A" w:rsidRPr="00362396">
        <w:rPr>
          <w:rFonts w:eastAsia="Times New Roman" w:cs="Times New Roman"/>
          <w:b/>
          <w:bCs/>
          <w:color w:val="000000" w:themeColor="text1"/>
          <w:szCs w:val="20"/>
        </w:rPr>
        <w:t>Quidilla</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687EB63D" wp14:editId="6035210D">
            <wp:extent cx="91440" cy="91440"/>
            <wp:effectExtent l="0" t="0" r="3810" b="3810"/>
            <wp:docPr id="199702865" name="Picture 199702865">
              <a:hlinkClick xmlns:a="http://schemas.openxmlformats.org/drawingml/2006/main" r:id="rId25"/>
            </wp:docPr>
            <wp:cNvGraphicFramePr/>
            <a:graphic xmlns:a="http://schemas.openxmlformats.org/drawingml/2006/main">
              <a:graphicData uri="http://schemas.openxmlformats.org/drawingml/2006/picture">
                <pic:pic xmlns:pic="http://schemas.openxmlformats.org/drawingml/2006/picture">
                  <pic:nvPicPr>
                    <pic:cNvPr id="199702865" name="Picture 199702865">
                      <a:hlinkClick r:id="rId25"/>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Maricone A. </w:t>
      </w:r>
      <w:r w:rsidR="00B2507A" w:rsidRPr="00362396">
        <w:rPr>
          <w:rFonts w:eastAsia="Times New Roman" w:cs="Times New Roman"/>
          <w:b/>
          <w:bCs/>
          <w:color w:val="000000" w:themeColor="text1"/>
          <w:szCs w:val="20"/>
        </w:rPr>
        <w:t>Cabansag</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1E32F1E6" wp14:editId="026EC9E7">
            <wp:extent cx="91440" cy="91440"/>
            <wp:effectExtent l="0" t="0" r="3810" b="3810"/>
            <wp:docPr id="2022506109" name="Picture 2022506109">
              <a:hlinkClick xmlns:a="http://schemas.openxmlformats.org/drawingml/2006/main" r:id="rId26"/>
            </wp:docPr>
            <wp:cNvGraphicFramePr/>
            <a:graphic xmlns:a="http://schemas.openxmlformats.org/drawingml/2006/main">
              <a:graphicData uri="http://schemas.openxmlformats.org/drawingml/2006/picture">
                <pic:pic xmlns:pic="http://schemas.openxmlformats.org/drawingml/2006/picture">
                  <pic:nvPicPr>
                    <pic:cNvPr id="2022506109" name="Picture 2022506109">
                      <a:hlinkClick r:id="rId26"/>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Ian Paul R. </w:t>
      </w:r>
      <w:r w:rsidR="00B2507A" w:rsidRPr="00362396">
        <w:rPr>
          <w:rFonts w:eastAsia="Times New Roman" w:cs="Times New Roman"/>
          <w:b/>
          <w:bCs/>
          <w:color w:val="000000" w:themeColor="text1"/>
          <w:szCs w:val="20"/>
        </w:rPr>
        <w:t>Villanueva</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5EA78966" wp14:editId="5CC6A6A4">
            <wp:extent cx="91440" cy="91440"/>
            <wp:effectExtent l="0" t="0" r="3810" b="3810"/>
            <wp:docPr id="1617052283" name="Picture 1617052283">
              <a:hlinkClick xmlns:a="http://schemas.openxmlformats.org/drawingml/2006/main" r:id="rId27"/>
            </wp:docPr>
            <wp:cNvGraphicFramePr/>
            <a:graphic xmlns:a="http://schemas.openxmlformats.org/drawingml/2006/main">
              <a:graphicData uri="http://schemas.openxmlformats.org/drawingml/2006/picture">
                <pic:pic xmlns:pic="http://schemas.openxmlformats.org/drawingml/2006/picture">
                  <pic:nvPicPr>
                    <pic:cNvPr id="1617052283" name="Picture 1617052283">
                      <a:hlinkClick r:id="rId27"/>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w:t>
      </w:r>
      <w:r w:rsidRPr="00362396">
        <w:rPr>
          <w:rFonts w:eastAsia="Times New Roman" w:cs="Times New Roman"/>
          <w:b/>
          <w:bCs/>
          <w:color w:val="000000" w:themeColor="text1"/>
          <w:szCs w:val="20"/>
        </w:rPr>
        <w:t xml:space="preserve">Selwyne Christian E. </w:t>
      </w:r>
      <w:r w:rsidR="00B2507A" w:rsidRPr="00362396">
        <w:rPr>
          <w:rFonts w:eastAsia="Times New Roman" w:cs="Times New Roman"/>
          <w:b/>
          <w:bCs/>
          <w:color w:val="000000" w:themeColor="text1"/>
          <w:szCs w:val="20"/>
        </w:rPr>
        <w:t>Ponce</w:t>
      </w:r>
      <w:r w:rsidR="00A5117F" w:rsidRPr="00362396">
        <w:rPr>
          <w:rFonts w:eastAsia="Times New Roman" w:cs="Times New Roman"/>
          <w:b/>
          <w:bCs/>
          <w:color w:val="000000" w:themeColor="text1"/>
          <w:szCs w:val="20"/>
          <w:vertAlign w:val="superscript"/>
        </w:rPr>
        <w:t>1</w:t>
      </w:r>
      <w:r w:rsidR="00F63A90" w:rsidRPr="00F62678">
        <w:rPr>
          <w:rFonts w:cs="Times New Roman"/>
          <w:noProof/>
        </w:rPr>
        <w:drawing>
          <wp:inline distT="0" distB="0" distL="0" distR="0" wp14:anchorId="2148236C" wp14:editId="28AEFE70">
            <wp:extent cx="91440" cy="91440"/>
            <wp:effectExtent l="0" t="0" r="3810" b="3810"/>
            <wp:docPr id="1786924401" name="Picture 1786924401">
              <a:hlinkClick xmlns:a="http://schemas.openxmlformats.org/drawingml/2006/main" r:id="rId28"/>
            </wp:docPr>
            <wp:cNvGraphicFramePr/>
            <a:graphic xmlns:a="http://schemas.openxmlformats.org/drawingml/2006/main">
              <a:graphicData uri="http://schemas.openxmlformats.org/drawingml/2006/picture">
                <pic:pic xmlns:pic="http://schemas.openxmlformats.org/drawingml/2006/picture">
                  <pic:nvPicPr>
                    <pic:cNvPr id="1786924401" name="Picture 1786924401">
                      <a:hlinkClick r:id="rId28"/>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r w:rsidR="00B2507A" w:rsidRPr="00362396">
        <w:rPr>
          <w:rFonts w:eastAsia="Times New Roman" w:cs="Times New Roman"/>
          <w:b/>
          <w:bCs/>
          <w:color w:val="000000" w:themeColor="text1"/>
          <w:szCs w:val="20"/>
        </w:rPr>
        <w:t xml:space="preserve">, and </w:t>
      </w:r>
      <w:r w:rsidRPr="00362396">
        <w:rPr>
          <w:rFonts w:eastAsia="Times New Roman" w:cs="Times New Roman"/>
          <w:b/>
          <w:bCs/>
          <w:color w:val="000000" w:themeColor="text1"/>
          <w:szCs w:val="20"/>
        </w:rPr>
        <w:t xml:space="preserve">Willen Mark D. </w:t>
      </w:r>
      <w:r w:rsidR="00B2507A" w:rsidRPr="00362396">
        <w:rPr>
          <w:rFonts w:eastAsia="Times New Roman" w:cs="Times New Roman"/>
          <w:b/>
          <w:bCs/>
          <w:color w:val="000000" w:themeColor="text1"/>
          <w:szCs w:val="20"/>
        </w:rPr>
        <w:t>Manzanas</w:t>
      </w:r>
      <w:r w:rsidR="00A5117F" w:rsidRPr="00362396">
        <w:rPr>
          <w:rFonts w:eastAsia="Times New Roman" w:cs="Times New Roman"/>
          <w:b/>
          <w:bCs/>
          <w:color w:val="000000" w:themeColor="text1"/>
          <w:szCs w:val="20"/>
          <w:vertAlign w:val="superscript"/>
        </w:rPr>
        <w:t>3</w:t>
      </w:r>
      <w:r w:rsidR="00F63A90" w:rsidRPr="00F62678">
        <w:rPr>
          <w:rFonts w:cs="Times New Roman"/>
          <w:noProof/>
        </w:rPr>
        <w:drawing>
          <wp:inline distT="0" distB="0" distL="0" distR="0" wp14:anchorId="03B51BD1" wp14:editId="4C999126">
            <wp:extent cx="91440" cy="91440"/>
            <wp:effectExtent l="0" t="0" r="3810" b="3810"/>
            <wp:docPr id="453186948" name="Picture 453186948">
              <a:hlinkClick xmlns:a="http://schemas.openxmlformats.org/drawingml/2006/main" r:id="rId29"/>
            </wp:docPr>
            <wp:cNvGraphicFramePr/>
            <a:graphic xmlns:a="http://schemas.openxmlformats.org/drawingml/2006/main">
              <a:graphicData uri="http://schemas.openxmlformats.org/drawingml/2006/picture">
                <pic:pic xmlns:pic="http://schemas.openxmlformats.org/drawingml/2006/picture">
                  <pic:nvPicPr>
                    <pic:cNvPr id="453186948" name="Picture 453186948">
                      <a:hlinkClick r:id="rId29"/>
                    </pic:cNvPr>
                    <pic:cNvPicPr/>
                  </pic:nvPicPr>
                  <pic:blipFill rotWithShape="1">
                    <a:blip r:embed="rId9" cstate="print">
                      <a:extLst>
                        <a:ext uri="{28A0092B-C50C-407E-A947-70E740481C1C}">
                          <a14:useLocalDpi xmlns:a14="http://schemas.microsoft.com/office/drawing/2010/main" val="0"/>
                        </a:ext>
                      </a:extLst>
                    </a:blip>
                    <a:srcRect l="32635" t="18226" r="32321" b="16001"/>
                    <a:stretch/>
                  </pic:blipFill>
                  <pic:spPr bwMode="auto">
                    <a:xfrm>
                      <a:off x="0" y="0"/>
                      <a:ext cx="91440" cy="91440"/>
                    </a:xfrm>
                    <a:prstGeom prst="ellipse">
                      <a:avLst/>
                    </a:prstGeom>
                    <a:ln>
                      <a:noFill/>
                    </a:ln>
                    <a:extLst>
                      <a:ext uri="{53640926-AAD7-44D8-BBD7-CCE9431645EC}">
                        <a14:shadowObscured xmlns:a14="http://schemas.microsoft.com/office/drawing/2010/main"/>
                      </a:ext>
                    </a:extLst>
                  </pic:spPr>
                </pic:pic>
              </a:graphicData>
            </a:graphic>
          </wp:inline>
        </w:drawing>
      </w:r>
    </w:p>
    <w:p w14:paraId="14117513" w14:textId="77777777" w:rsidR="002F4B7F" w:rsidRPr="00362396" w:rsidRDefault="002F4B7F" w:rsidP="00362396">
      <w:pPr>
        <w:spacing w:after="0" w:line="240" w:lineRule="auto"/>
        <w:jc w:val="center"/>
        <w:rPr>
          <w:rFonts w:cs="Times New Roman"/>
          <w:color w:val="000000" w:themeColor="text1"/>
          <w:sz w:val="18"/>
          <w:szCs w:val="18"/>
        </w:rPr>
      </w:pPr>
    </w:p>
    <w:p w14:paraId="7997F308" w14:textId="1D4C3B37" w:rsidR="00B2507A" w:rsidRPr="00362396" w:rsidRDefault="00B2507A" w:rsidP="00362396">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vertAlign w:val="superscript"/>
        </w:rPr>
        <w:t>1</w:t>
      </w:r>
      <w:r w:rsidRPr="00362396">
        <w:rPr>
          <w:rFonts w:cs="Times New Roman"/>
          <w:i/>
          <w:iCs/>
          <w:color w:val="000000" w:themeColor="text1"/>
          <w:sz w:val="18"/>
          <w:szCs w:val="18"/>
        </w:rPr>
        <w:t xml:space="preserve">Coastal Engineering Research </w:t>
      </w:r>
      <w:r w:rsidR="009054EA">
        <w:rPr>
          <w:rFonts w:cs="Times New Roman"/>
          <w:i/>
          <w:iCs/>
          <w:color w:val="000000" w:themeColor="text1"/>
          <w:sz w:val="18"/>
          <w:szCs w:val="18"/>
        </w:rPr>
        <w:t xml:space="preserve">and Management </w:t>
      </w:r>
      <w:r w:rsidRPr="00362396">
        <w:rPr>
          <w:rFonts w:cs="Times New Roman"/>
          <w:i/>
          <w:iCs/>
          <w:color w:val="000000" w:themeColor="text1"/>
          <w:sz w:val="18"/>
          <w:szCs w:val="18"/>
        </w:rPr>
        <w:t xml:space="preserve">Center, Mariano Marcos State University, </w:t>
      </w:r>
      <w:r w:rsidR="00A5117F" w:rsidRPr="00362396">
        <w:rPr>
          <w:rFonts w:cs="Times New Roman"/>
          <w:i/>
          <w:iCs/>
          <w:color w:val="000000" w:themeColor="text1"/>
          <w:sz w:val="18"/>
          <w:szCs w:val="18"/>
        </w:rPr>
        <w:t>City of Batac, Philippines</w:t>
      </w:r>
    </w:p>
    <w:p w14:paraId="357FC54C" w14:textId="758C54A3" w:rsidR="00A5117F" w:rsidRPr="00362396" w:rsidRDefault="00A5117F" w:rsidP="00362396">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vertAlign w:val="superscript"/>
        </w:rPr>
        <w:t>2</w:t>
      </w:r>
      <w:r w:rsidRPr="00362396">
        <w:rPr>
          <w:rFonts w:cs="Times New Roman"/>
          <w:i/>
          <w:iCs/>
          <w:color w:val="000000" w:themeColor="text1"/>
          <w:sz w:val="18"/>
          <w:szCs w:val="18"/>
        </w:rPr>
        <w:t>Crop Research Laboratory, Mariano Marcos State University, City of Batac, Philippines</w:t>
      </w:r>
    </w:p>
    <w:p w14:paraId="365DA7C3" w14:textId="2B63197C" w:rsidR="00A5117F" w:rsidRPr="00362396" w:rsidRDefault="00A5117F" w:rsidP="00362396">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vertAlign w:val="superscript"/>
        </w:rPr>
        <w:t>3</w:t>
      </w:r>
      <w:r w:rsidRPr="00362396">
        <w:rPr>
          <w:rFonts w:cs="Times New Roman"/>
          <w:i/>
          <w:iCs/>
          <w:color w:val="000000" w:themeColor="text1"/>
          <w:sz w:val="18"/>
          <w:szCs w:val="18"/>
        </w:rPr>
        <w:t>College of Engineering, Mariano Marcos State University, City of Batac, Philippines</w:t>
      </w:r>
    </w:p>
    <w:p w14:paraId="508588DB" w14:textId="650CFC03" w:rsidR="00A5117F" w:rsidRPr="00362396" w:rsidRDefault="00A5117F" w:rsidP="00362396">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vertAlign w:val="superscript"/>
        </w:rPr>
        <w:t>4</w:t>
      </w:r>
      <w:r w:rsidRPr="00362396">
        <w:rPr>
          <w:rFonts w:cs="Times New Roman"/>
          <w:i/>
          <w:iCs/>
          <w:color w:val="000000" w:themeColor="text1"/>
          <w:sz w:val="18"/>
          <w:szCs w:val="18"/>
        </w:rPr>
        <w:t>College of Agriculture, Foods, and Sustainable Development, Mariano Marcos State University, City of Batac, Philippines</w:t>
      </w:r>
    </w:p>
    <w:p w14:paraId="15FA6E34" w14:textId="29B76A82" w:rsidR="00656E50" w:rsidRPr="00362396" w:rsidRDefault="00A5117F" w:rsidP="002F4B7F">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vertAlign w:val="superscript"/>
        </w:rPr>
        <w:t>5</w:t>
      </w:r>
      <w:r w:rsidRPr="00362396">
        <w:rPr>
          <w:rFonts w:cs="Times New Roman"/>
          <w:i/>
          <w:iCs/>
          <w:color w:val="000000" w:themeColor="text1"/>
          <w:sz w:val="18"/>
          <w:szCs w:val="18"/>
        </w:rPr>
        <w:t>College of Arts and Sciences, Mariano Marcos State University, City of Batac, Philippines</w:t>
      </w:r>
    </w:p>
    <w:p w14:paraId="3D8BC335" w14:textId="77777777" w:rsidR="002F4B7F" w:rsidRPr="00362396" w:rsidRDefault="002F4B7F" w:rsidP="00362396">
      <w:pPr>
        <w:spacing w:after="0" w:line="240" w:lineRule="auto"/>
        <w:rPr>
          <w:rFonts w:cs="Times New Roman"/>
          <w:i/>
          <w:iCs/>
          <w:color w:val="000000" w:themeColor="text1"/>
          <w:sz w:val="18"/>
          <w:szCs w:val="18"/>
        </w:rPr>
      </w:pPr>
    </w:p>
    <w:p w14:paraId="04664243" w14:textId="6525CA72" w:rsidR="00A5117F" w:rsidRPr="00362396" w:rsidRDefault="00A5117F" w:rsidP="00362396">
      <w:pPr>
        <w:spacing w:after="0" w:line="240" w:lineRule="auto"/>
        <w:jc w:val="center"/>
        <w:rPr>
          <w:rFonts w:cs="Times New Roman"/>
          <w:i/>
          <w:iCs/>
          <w:color w:val="000000" w:themeColor="text1"/>
          <w:sz w:val="18"/>
          <w:szCs w:val="18"/>
        </w:rPr>
      </w:pPr>
      <w:r w:rsidRPr="00362396">
        <w:rPr>
          <w:rFonts w:cs="Times New Roman"/>
          <w:i/>
          <w:iCs/>
          <w:color w:val="000000" w:themeColor="text1"/>
          <w:sz w:val="18"/>
          <w:szCs w:val="18"/>
        </w:rPr>
        <w:t xml:space="preserve">*Corresponding </w:t>
      </w:r>
      <w:r w:rsidR="002F4B7F" w:rsidRPr="00362396">
        <w:rPr>
          <w:rFonts w:cs="Times New Roman"/>
          <w:i/>
          <w:iCs/>
          <w:color w:val="000000" w:themeColor="text1"/>
          <w:sz w:val="18"/>
          <w:szCs w:val="18"/>
        </w:rPr>
        <w:t>a</w:t>
      </w:r>
      <w:r w:rsidRPr="00362396">
        <w:rPr>
          <w:rFonts w:cs="Times New Roman"/>
          <w:i/>
          <w:iCs/>
          <w:color w:val="000000" w:themeColor="text1"/>
          <w:sz w:val="18"/>
          <w:szCs w:val="18"/>
        </w:rPr>
        <w:t xml:space="preserve">uthor: </w:t>
      </w:r>
      <w:hyperlink r:id="rId30" w:history="1">
        <w:r w:rsidR="002F4B7F" w:rsidRPr="00362396">
          <w:rPr>
            <w:rStyle w:val="Hyperlink"/>
            <w:rFonts w:cs="Times New Roman"/>
            <w:i/>
            <w:iCs/>
            <w:sz w:val="18"/>
            <w:szCs w:val="18"/>
          </w:rPr>
          <w:t>nralibuyog@mmsu.edu.ph</w:t>
        </w:r>
      </w:hyperlink>
      <w:r w:rsidR="002F4B7F" w:rsidRPr="00362396">
        <w:rPr>
          <w:rFonts w:cs="Times New Roman"/>
          <w:i/>
          <w:iCs/>
          <w:color w:val="000000" w:themeColor="text1"/>
          <w:sz w:val="18"/>
          <w:szCs w:val="18"/>
        </w:rPr>
        <w:t xml:space="preserve"> </w:t>
      </w:r>
    </w:p>
    <w:p w14:paraId="6242BBCB" w14:textId="77777777" w:rsidR="002F4B7F" w:rsidRPr="00362396" w:rsidRDefault="002F4B7F" w:rsidP="002F4B7F">
      <w:pPr>
        <w:spacing w:after="0" w:line="240" w:lineRule="auto"/>
        <w:jc w:val="center"/>
        <w:rPr>
          <w:rFonts w:eastAsia="Malgun Gothic" w:cs="Times New Roman"/>
          <w:sz w:val="18"/>
          <w:szCs w:val="18"/>
          <w:lang w:eastAsia="ko-KR"/>
        </w:rPr>
      </w:pPr>
    </w:p>
    <w:p w14:paraId="352B3DF4" w14:textId="4DC8982D" w:rsidR="002F4B7F" w:rsidRPr="00362396" w:rsidRDefault="002F4B7F" w:rsidP="002F4B7F">
      <w:pPr>
        <w:spacing w:after="0" w:line="240" w:lineRule="auto"/>
        <w:jc w:val="center"/>
        <w:rPr>
          <w:rFonts w:eastAsia="Malgun Gothic" w:cs="Times New Roman"/>
          <w:sz w:val="18"/>
          <w:szCs w:val="18"/>
          <w:lang w:eastAsia="ko-KR"/>
        </w:rPr>
      </w:pPr>
      <w:r w:rsidRPr="00362396">
        <w:rPr>
          <w:rFonts w:eastAsia="Malgun Gothic" w:cs="Times New Roman"/>
          <w:sz w:val="18"/>
          <w:szCs w:val="18"/>
          <w:lang w:eastAsia="ko-KR"/>
        </w:rPr>
        <w:t xml:space="preserve">Received: </w:t>
      </w:r>
      <w:r w:rsidR="007E2726">
        <w:rPr>
          <w:rFonts w:eastAsia="Malgun Gothic" w:cs="Times New Roman"/>
          <w:sz w:val="18"/>
          <w:szCs w:val="18"/>
          <w:lang w:eastAsia="ko-KR"/>
        </w:rPr>
        <w:t>28 Nov. 2025</w:t>
      </w:r>
      <w:r w:rsidRPr="00362396">
        <w:rPr>
          <w:rFonts w:eastAsia="Malgun Gothic" w:cs="Times New Roman"/>
          <w:sz w:val="18"/>
          <w:szCs w:val="18"/>
          <w:lang w:eastAsia="ko-KR"/>
        </w:rPr>
        <w:t xml:space="preserve"> || Revised: </w:t>
      </w:r>
      <w:r w:rsidR="007E2726">
        <w:rPr>
          <w:rFonts w:eastAsia="Malgun Gothic" w:cs="Times New Roman"/>
          <w:sz w:val="18"/>
          <w:szCs w:val="18"/>
          <w:lang w:eastAsia="ko-KR"/>
        </w:rPr>
        <w:t>22 Sep. 2026</w:t>
      </w:r>
      <w:r w:rsidRPr="00362396">
        <w:rPr>
          <w:rFonts w:eastAsia="Malgun Gothic" w:cs="Times New Roman"/>
          <w:sz w:val="18"/>
          <w:szCs w:val="18"/>
          <w:lang w:eastAsia="ko-KR"/>
        </w:rPr>
        <w:t xml:space="preserve"> || Accepted: </w:t>
      </w:r>
      <w:r w:rsidR="007E2726">
        <w:rPr>
          <w:rFonts w:eastAsia="Malgun Gothic" w:cs="Times New Roman"/>
          <w:sz w:val="18"/>
          <w:szCs w:val="18"/>
          <w:lang w:eastAsia="ko-KR"/>
        </w:rPr>
        <w:t>24 Oct. 2026</w:t>
      </w:r>
      <w:r w:rsidRPr="00362396">
        <w:rPr>
          <w:rFonts w:eastAsia="Malgun Gothic" w:cs="Times New Roman"/>
          <w:sz w:val="18"/>
          <w:szCs w:val="18"/>
          <w:lang w:eastAsia="ko-KR"/>
        </w:rPr>
        <w:t xml:space="preserve"> || Available Online: </w:t>
      </w:r>
      <w:r w:rsidR="004A4D2F">
        <w:rPr>
          <w:rFonts w:eastAsia="Malgun Gothic" w:cs="Times New Roman"/>
          <w:sz w:val="18"/>
          <w:szCs w:val="18"/>
          <w:lang w:eastAsia="ko-KR"/>
        </w:rPr>
        <w:t>03 Nov.</w:t>
      </w:r>
      <w:r w:rsidR="007E2726">
        <w:rPr>
          <w:rFonts w:eastAsia="Malgun Gothic" w:cs="Times New Roman"/>
          <w:sz w:val="18"/>
          <w:szCs w:val="18"/>
          <w:lang w:eastAsia="ko-KR"/>
        </w:rPr>
        <w:t xml:space="preserve"> 2026</w:t>
      </w:r>
    </w:p>
    <w:p w14:paraId="56F49700" w14:textId="77777777" w:rsidR="002F4B7F" w:rsidRPr="00362396" w:rsidRDefault="002F4B7F" w:rsidP="002F4B7F">
      <w:pPr>
        <w:spacing w:after="0" w:line="240" w:lineRule="auto"/>
        <w:jc w:val="center"/>
        <w:rPr>
          <w:rFonts w:cs="Times New Roman"/>
          <w:sz w:val="18"/>
          <w:szCs w:val="18"/>
        </w:rPr>
      </w:pPr>
    </w:p>
    <w:p w14:paraId="0051C148" w14:textId="77777777" w:rsidR="002F4B7F" w:rsidRPr="00F62678" w:rsidRDefault="002F4B7F" w:rsidP="002F4B7F">
      <w:pPr>
        <w:spacing w:after="0" w:line="240" w:lineRule="auto"/>
        <w:rPr>
          <w:rFonts w:eastAsia="Times New Roman" w:cs="Times New Roman"/>
          <w:b/>
          <w:bCs/>
          <w:sz w:val="18"/>
          <w:szCs w:val="18"/>
        </w:rPr>
      </w:pPr>
      <w:r w:rsidRPr="00F62678">
        <w:rPr>
          <w:rFonts w:eastAsia="Times New Roman" w:cs="Times New Roman"/>
          <w:b/>
          <w:bCs/>
          <w:sz w:val="18"/>
          <w:szCs w:val="18"/>
        </w:rPr>
        <w:t>How to cite:</w:t>
      </w:r>
    </w:p>
    <w:p w14:paraId="5B70984F" w14:textId="51B5A3D5" w:rsidR="002F4B7F" w:rsidRDefault="002F4B7F" w:rsidP="007005A5">
      <w:pPr>
        <w:spacing w:after="0" w:line="240" w:lineRule="auto"/>
        <w:ind w:left="720" w:hanging="720"/>
        <w:jc w:val="both"/>
        <w:rPr>
          <w:rFonts w:eastAsia="Times New Roman" w:cs="Times New Roman"/>
          <w:color w:val="000000"/>
          <w:sz w:val="18"/>
          <w:szCs w:val="18"/>
        </w:rPr>
      </w:pPr>
      <w:r>
        <w:rPr>
          <w:rFonts w:eastAsia="Times New Roman" w:cs="Times New Roman"/>
          <w:color w:val="000000"/>
          <w:sz w:val="18"/>
          <w:szCs w:val="18"/>
        </w:rPr>
        <w:t>Alibuyog NR, Utrera RT, Nicolas SB, Valentin CD, Pastor FC, Agreda JG, Butay JJL, Agbigay LC, Julian CB, Pugat JL, and others. 20</w:t>
      </w:r>
      <w:r w:rsidRPr="00F62678">
        <w:rPr>
          <w:rFonts w:eastAsia="Times New Roman" w:cs="Times New Roman"/>
          <w:color w:val="000000"/>
          <w:sz w:val="18"/>
          <w:szCs w:val="18"/>
        </w:rPr>
        <w:t xml:space="preserve">26. </w:t>
      </w:r>
      <w:r w:rsidRPr="002F4B7F">
        <w:rPr>
          <w:rFonts w:eastAsia="Times New Roman" w:cs="Times New Roman"/>
          <w:color w:val="000000"/>
          <w:sz w:val="18"/>
          <w:szCs w:val="18"/>
        </w:rPr>
        <w:t>Baseline characterization of salt-making practices and constraints in selected Philippine coastal provinces</w:t>
      </w:r>
      <w:r w:rsidRPr="00F62678">
        <w:rPr>
          <w:rFonts w:eastAsia="Times New Roman" w:cs="Times New Roman"/>
          <w:color w:val="000000"/>
          <w:sz w:val="18"/>
          <w:szCs w:val="18"/>
        </w:rPr>
        <w:t>. The Palawan Scientist. 18(</w:t>
      </w:r>
      <w:r>
        <w:rPr>
          <w:rFonts w:eastAsia="Times New Roman" w:cs="Times New Roman"/>
          <w:color w:val="000000"/>
          <w:sz w:val="18"/>
          <w:szCs w:val="18"/>
        </w:rPr>
        <w:t>Special Issue 1</w:t>
      </w:r>
      <w:r w:rsidRPr="00F62678">
        <w:rPr>
          <w:rFonts w:eastAsia="Times New Roman" w:cs="Times New Roman"/>
          <w:color w:val="000000"/>
          <w:sz w:val="18"/>
          <w:szCs w:val="18"/>
        </w:rPr>
        <w:t xml:space="preserve">):in press. </w:t>
      </w:r>
      <w:hyperlink r:id="rId31" w:history="1">
        <w:r w:rsidR="00C818B5" w:rsidRPr="005446BE">
          <w:rPr>
            <w:rStyle w:val="Hyperlink"/>
            <w:rFonts w:eastAsia="Times New Roman" w:cs="Times New Roman"/>
            <w:sz w:val="18"/>
            <w:szCs w:val="18"/>
          </w:rPr>
          <w:t>https://doi.org/10.69721/TPS.J.2026.18.SI1.06</w:t>
        </w:r>
      </w:hyperlink>
    </w:p>
    <w:p w14:paraId="50ECFF20" w14:textId="77777777" w:rsidR="00362396" w:rsidRDefault="00362396" w:rsidP="002F4B7F">
      <w:pPr>
        <w:spacing w:after="0" w:line="240" w:lineRule="auto"/>
        <w:jc w:val="both"/>
        <w:rPr>
          <w:rFonts w:eastAsia="Times New Roman" w:cs="Times New Roman"/>
          <w:color w:val="000000"/>
          <w:sz w:val="18"/>
          <w:szCs w:val="18"/>
        </w:rPr>
      </w:pPr>
    </w:p>
    <w:p w14:paraId="45DB254F" w14:textId="77777777" w:rsidR="00362396" w:rsidRDefault="00362396" w:rsidP="002F4B7F">
      <w:pPr>
        <w:spacing w:after="0" w:line="240" w:lineRule="auto"/>
        <w:jc w:val="both"/>
        <w:rPr>
          <w:rFonts w:eastAsia="Times New Roman" w:cs="Times New Roman"/>
          <w:color w:val="000000"/>
          <w:sz w:val="18"/>
          <w:szCs w:val="18"/>
        </w:rPr>
      </w:pPr>
    </w:p>
    <w:p w14:paraId="605BA0DE" w14:textId="77777777" w:rsidR="00C818B5" w:rsidRPr="00F62678" w:rsidRDefault="00C818B5" w:rsidP="002F4B7F">
      <w:pPr>
        <w:spacing w:after="0" w:line="240" w:lineRule="auto"/>
        <w:jc w:val="both"/>
        <w:rPr>
          <w:rFonts w:eastAsia="Times New Roman" w:cs="Times New Roman"/>
          <w:color w:val="000000"/>
          <w:sz w:val="18"/>
          <w:szCs w:val="18"/>
        </w:rPr>
      </w:pPr>
    </w:p>
    <w:p w14:paraId="07C33636" w14:textId="77777777" w:rsidR="00AA1700" w:rsidRPr="00C664C7" w:rsidRDefault="00000000" w:rsidP="00193DD3">
      <w:pPr>
        <w:pStyle w:val="Heading1"/>
        <w:keepNext w:val="0"/>
        <w:keepLines w:val="0"/>
        <w:spacing w:before="0" w:line="480" w:lineRule="auto"/>
        <w:jc w:val="center"/>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ABSTRACT</w:t>
      </w:r>
    </w:p>
    <w:p w14:paraId="67037B73" w14:textId="44DE93AF" w:rsidR="00AA1700" w:rsidRPr="00C664C7" w:rsidRDefault="005153B8" w:rsidP="00C818B5">
      <w:pPr>
        <w:spacing w:after="0" w:line="480" w:lineRule="auto"/>
        <w:ind w:left="284" w:right="237"/>
        <w:jc w:val="both"/>
        <w:rPr>
          <w:rFonts w:cs="Times New Roman"/>
          <w:color w:val="000000" w:themeColor="text1"/>
          <w:szCs w:val="20"/>
        </w:rPr>
      </w:pPr>
      <w:r w:rsidRPr="00C664C7">
        <w:rPr>
          <w:rFonts w:cs="Times New Roman"/>
          <w:color w:val="000000" w:themeColor="text1"/>
          <w:szCs w:val="20"/>
        </w:rPr>
        <w:t xml:space="preserve">The Philippine salt industry </w:t>
      </w:r>
      <w:r w:rsidR="00387710">
        <w:rPr>
          <w:rFonts w:cs="Times New Roman"/>
          <w:color w:val="000000" w:themeColor="text1"/>
          <w:szCs w:val="20"/>
        </w:rPr>
        <w:t>supports</w:t>
      </w:r>
      <w:r w:rsidRPr="00C664C7">
        <w:rPr>
          <w:rFonts w:cs="Times New Roman"/>
          <w:color w:val="000000" w:themeColor="text1"/>
          <w:szCs w:val="20"/>
        </w:rPr>
        <w:t xml:space="preserve"> coastal livelihoods but has declined amid import dependence, climate-sensitive production, limited modernization, and fragmented support. This descriptive cross-sectional </w:t>
      </w:r>
      <w:r w:rsidR="00387710">
        <w:rPr>
          <w:rFonts w:cs="Times New Roman"/>
          <w:color w:val="000000" w:themeColor="text1"/>
          <w:szCs w:val="20"/>
        </w:rPr>
        <w:t>study characterized</w:t>
      </w:r>
      <w:r w:rsidRPr="00C664C7">
        <w:rPr>
          <w:rFonts w:cs="Times New Roman"/>
          <w:color w:val="000000" w:themeColor="text1"/>
          <w:szCs w:val="20"/>
        </w:rPr>
        <w:t xml:space="preserve"> salt-making practices, producer profiles, post-harvest practices, and reported constraints in selected major salt-producing provinces. </w:t>
      </w:r>
      <w:r w:rsidR="003E24E1" w:rsidRPr="00C664C7">
        <w:rPr>
          <w:rFonts w:cs="Times New Roman"/>
          <w:color w:val="000000" w:themeColor="text1"/>
          <w:szCs w:val="20"/>
        </w:rPr>
        <w:t>Data were gathered from 590 salt producers, owners, operators, caretakers, and workers across Regions I, III, IV-B, VI, and X using a structured, pretested survey, field observations, and site documentation during the early and peak production periods.</w:t>
      </w:r>
      <w:r w:rsidRPr="00C664C7">
        <w:rPr>
          <w:rFonts w:cs="Times New Roman"/>
          <w:color w:val="000000" w:themeColor="text1"/>
          <w:szCs w:val="20"/>
        </w:rPr>
        <w:t xml:space="preserve"> Data were analyzed using descriptive statistics, frequency distributions, percentages, and province- and region-based cross-tabulations. Most respondents were male (69.5%), married (80.8%), aged 46 years or older (68.8%), and had more than 20 years of salt-making experience (58.1%), indicating a sector largely sustained by experienced, middle-aged and older producers. Salt production was dominated by solar evaporation systems, including conventional </w:t>
      </w:r>
      <w:r w:rsidR="00842B44">
        <w:rPr>
          <w:rFonts w:cs="Times New Roman"/>
          <w:color w:val="000000" w:themeColor="text1"/>
          <w:szCs w:val="20"/>
        </w:rPr>
        <w:t xml:space="preserve">crystallization beds </w:t>
      </w:r>
      <w:r w:rsidRPr="00C664C7">
        <w:rPr>
          <w:rFonts w:cs="Times New Roman"/>
          <w:color w:val="000000" w:themeColor="text1"/>
          <w:szCs w:val="20"/>
        </w:rPr>
        <w:t>and</w:t>
      </w:r>
      <w:r w:rsidR="00842B44">
        <w:rPr>
          <w:rFonts w:cs="Times New Roman"/>
          <w:color w:val="000000" w:themeColor="text1"/>
          <w:szCs w:val="20"/>
        </w:rPr>
        <w:t xml:space="preserve"> those with high-density </w:t>
      </w:r>
      <w:r w:rsidR="00842B44" w:rsidRPr="00A9593F">
        <w:rPr>
          <w:rFonts w:cs="Times New Roman"/>
          <w:color w:val="000000" w:themeColor="text1"/>
          <w:szCs w:val="20"/>
        </w:rPr>
        <w:t>polyethyle</w:t>
      </w:r>
      <w:r w:rsidR="00AB60E9" w:rsidRPr="00A9593F">
        <w:rPr>
          <w:rFonts w:cs="Times New Roman"/>
          <w:color w:val="000000" w:themeColor="text1"/>
          <w:szCs w:val="20"/>
        </w:rPr>
        <w:t>ne (</w:t>
      </w:r>
      <w:r w:rsidRPr="00F4763B">
        <w:rPr>
          <w:rFonts w:cs="Times New Roman"/>
          <w:color w:val="000000" w:themeColor="text1"/>
          <w:szCs w:val="20"/>
        </w:rPr>
        <w:t>HDPE</w:t>
      </w:r>
      <w:r w:rsidR="00AB60E9" w:rsidRPr="00F4763B">
        <w:rPr>
          <w:rFonts w:cs="Times New Roman"/>
          <w:color w:val="000000" w:themeColor="text1"/>
          <w:szCs w:val="20"/>
        </w:rPr>
        <w:t xml:space="preserve">) </w:t>
      </w:r>
      <w:r w:rsidRPr="00C664C7">
        <w:rPr>
          <w:rFonts w:cs="Times New Roman"/>
          <w:color w:val="000000" w:themeColor="text1"/>
          <w:szCs w:val="20"/>
        </w:rPr>
        <w:t xml:space="preserve">lined crystallization beds (78.81%), while cooking-based production accounted for 21.19% and was concentrated in the Ilocos provinces. Post-harvest practices showed limited upgrading: sacks were the dominant packaging material (93%), 72% of respondents reported </w:t>
      </w:r>
      <w:r w:rsidR="00842B44">
        <w:rPr>
          <w:rFonts w:cs="Times New Roman"/>
          <w:color w:val="000000" w:themeColor="text1"/>
          <w:szCs w:val="20"/>
        </w:rPr>
        <w:t xml:space="preserve">that their products had </w:t>
      </w:r>
      <w:r w:rsidRPr="00C664C7">
        <w:rPr>
          <w:rFonts w:cs="Times New Roman"/>
          <w:color w:val="000000" w:themeColor="text1"/>
          <w:szCs w:val="20"/>
        </w:rPr>
        <w:t xml:space="preserve">no farm-level </w:t>
      </w:r>
      <w:r w:rsidRPr="00C664C7">
        <w:rPr>
          <w:rFonts w:cs="Times New Roman"/>
          <w:color w:val="000000" w:themeColor="text1"/>
          <w:szCs w:val="20"/>
        </w:rPr>
        <w:lastRenderedPageBreak/>
        <w:t>packaging labels, and 35% had no storage facility. The most frequently reported primary production constraint was climate- and weather-related risk</w:t>
      </w:r>
      <w:r w:rsidR="00842B44">
        <w:rPr>
          <w:rFonts w:cs="Times New Roman"/>
          <w:color w:val="000000" w:themeColor="text1"/>
          <w:szCs w:val="20"/>
        </w:rPr>
        <w:t>s</w:t>
      </w:r>
      <w:r w:rsidRPr="00C664C7">
        <w:rPr>
          <w:rFonts w:cs="Times New Roman"/>
          <w:color w:val="000000" w:themeColor="text1"/>
          <w:szCs w:val="20"/>
        </w:rPr>
        <w:t xml:space="preserve"> (63.39%), while the leading marketing constraint was limited access to large-scale distribution channels (47.97%). The findings provide baseline evidence to inform targeted interventions in climate-resilient infrastructure, improved storage, appropriate technology transfer, traceability, tenure support, and market linkages </w:t>
      </w:r>
      <w:r w:rsidR="00842B44">
        <w:rPr>
          <w:rFonts w:cs="Times New Roman"/>
          <w:color w:val="000000" w:themeColor="text1"/>
          <w:szCs w:val="20"/>
        </w:rPr>
        <w:t>to promote</w:t>
      </w:r>
      <w:r w:rsidR="00842B44" w:rsidRPr="00C664C7">
        <w:rPr>
          <w:rFonts w:cs="Times New Roman"/>
          <w:color w:val="000000" w:themeColor="text1"/>
          <w:szCs w:val="20"/>
        </w:rPr>
        <w:t xml:space="preserve"> </w:t>
      </w:r>
      <w:r w:rsidRPr="00C664C7">
        <w:rPr>
          <w:rFonts w:cs="Times New Roman"/>
          <w:color w:val="000000" w:themeColor="text1"/>
          <w:szCs w:val="20"/>
        </w:rPr>
        <w:t>a more sustainable and resilient Philippine salt industry.</w:t>
      </w:r>
    </w:p>
    <w:p w14:paraId="0BA3CFB6" w14:textId="564258D7" w:rsidR="00AA1700" w:rsidRPr="00C664C7" w:rsidRDefault="00000000" w:rsidP="008D4D32">
      <w:pPr>
        <w:spacing w:after="0" w:line="480" w:lineRule="auto"/>
        <w:ind w:left="284" w:right="237"/>
        <w:jc w:val="both"/>
        <w:rPr>
          <w:rFonts w:cs="Times New Roman"/>
          <w:color w:val="000000" w:themeColor="text1"/>
          <w:szCs w:val="20"/>
        </w:rPr>
      </w:pPr>
      <w:r w:rsidRPr="00127E92">
        <w:rPr>
          <w:rFonts w:cs="Times New Roman"/>
          <w:b/>
          <w:bCs/>
          <w:color w:val="000000" w:themeColor="text1"/>
          <w:szCs w:val="20"/>
        </w:rPr>
        <w:t>Keywords:</w:t>
      </w:r>
      <w:r w:rsidRPr="00C664C7">
        <w:rPr>
          <w:rFonts w:cs="Times New Roman"/>
          <w:color w:val="000000" w:themeColor="text1"/>
          <w:szCs w:val="20"/>
        </w:rPr>
        <w:t xml:space="preserve"> </w:t>
      </w:r>
      <w:r w:rsidR="00CB6B38" w:rsidRPr="00C664C7">
        <w:rPr>
          <w:rFonts w:cs="Times New Roman"/>
          <w:color w:val="000000" w:themeColor="text1"/>
          <w:szCs w:val="20"/>
        </w:rPr>
        <w:t>coastal livelihoods</w:t>
      </w:r>
      <w:r w:rsidR="00CB6B38">
        <w:rPr>
          <w:rFonts w:cs="Times New Roman"/>
          <w:color w:val="000000" w:themeColor="text1"/>
          <w:szCs w:val="20"/>
        </w:rPr>
        <w:t>,</w:t>
      </w:r>
      <w:r w:rsidR="00CB6B38" w:rsidRPr="00C664C7">
        <w:rPr>
          <w:rFonts w:cs="Times New Roman"/>
          <w:color w:val="000000" w:themeColor="text1"/>
          <w:szCs w:val="20"/>
        </w:rPr>
        <w:t xml:space="preserve"> </w:t>
      </w:r>
      <w:r w:rsidR="008D4D32" w:rsidRPr="00C664C7">
        <w:rPr>
          <w:rFonts w:cs="Times New Roman"/>
          <w:color w:val="000000" w:themeColor="text1"/>
          <w:szCs w:val="20"/>
        </w:rPr>
        <w:t>Philippine salt industry</w:t>
      </w:r>
      <w:r w:rsidR="008D4D32">
        <w:rPr>
          <w:rFonts w:cs="Times New Roman"/>
          <w:color w:val="000000" w:themeColor="text1"/>
          <w:szCs w:val="20"/>
        </w:rPr>
        <w:t xml:space="preserve">, </w:t>
      </w:r>
      <w:r w:rsidR="00CB6B38" w:rsidRPr="00C664C7">
        <w:rPr>
          <w:rFonts w:cs="Times New Roman"/>
          <w:color w:val="000000" w:themeColor="text1"/>
          <w:szCs w:val="20"/>
        </w:rPr>
        <w:t>production constraints</w:t>
      </w:r>
      <w:r w:rsidR="00CB6B38">
        <w:rPr>
          <w:rFonts w:cs="Times New Roman"/>
          <w:color w:val="000000" w:themeColor="text1"/>
          <w:szCs w:val="20"/>
        </w:rPr>
        <w:t>,</w:t>
      </w:r>
      <w:r w:rsidRPr="00C664C7">
        <w:rPr>
          <w:rFonts w:cs="Times New Roman"/>
          <w:color w:val="000000" w:themeColor="text1"/>
          <w:szCs w:val="20"/>
        </w:rPr>
        <w:t xml:space="preserve"> salt-making practices</w:t>
      </w:r>
      <w:r w:rsidR="00CB6B38">
        <w:rPr>
          <w:rFonts w:cs="Times New Roman"/>
          <w:color w:val="000000" w:themeColor="text1"/>
          <w:szCs w:val="20"/>
        </w:rPr>
        <w:t>,</w:t>
      </w:r>
      <w:r w:rsidR="008D4D32">
        <w:rPr>
          <w:rFonts w:cs="Times New Roman"/>
          <w:color w:val="000000" w:themeColor="text1"/>
          <w:szCs w:val="20"/>
        </w:rPr>
        <w:t xml:space="preserve"> </w:t>
      </w:r>
      <w:r w:rsidRPr="00C664C7">
        <w:rPr>
          <w:rFonts w:cs="Times New Roman"/>
          <w:color w:val="000000" w:themeColor="text1"/>
          <w:szCs w:val="20"/>
        </w:rPr>
        <w:t xml:space="preserve">solar evaporation </w:t>
      </w:r>
    </w:p>
    <w:p w14:paraId="1995C299" w14:textId="785579A8" w:rsidR="00193DD3" w:rsidRPr="00C664C7" w:rsidRDefault="00193DD3" w:rsidP="00193DD3">
      <w:pPr>
        <w:spacing w:after="0" w:line="480" w:lineRule="auto"/>
        <w:rPr>
          <w:rFonts w:cs="Times New Roman"/>
          <w:b/>
          <w:bCs/>
          <w:color w:val="000000" w:themeColor="text1"/>
          <w:szCs w:val="20"/>
        </w:rPr>
      </w:pPr>
      <w:r w:rsidRPr="00C664C7">
        <w:rPr>
          <w:rFonts w:cs="Times New Roman"/>
          <w:b/>
          <w:bCs/>
          <w:color w:val="000000" w:themeColor="text1"/>
          <w:szCs w:val="20"/>
        </w:rPr>
        <w:t>INTRODUCTION</w:t>
      </w:r>
    </w:p>
    <w:p w14:paraId="6A29CABF" w14:textId="104C6C93"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Salt is an essential commodity used in households, food processing, water treatment, animal feeds, chemical industries, and </w:t>
      </w:r>
      <w:r w:rsidR="007B5AEE">
        <w:rPr>
          <w:rFonts w:cs="Times New Roman"/>
          <w:color w:val="000000" w:themeColor="text1"/>
          <w:szCs w:val="20"/>
        </w:rPr>
        <w:t>various</w:t>
      </w:r>
      <w:r w:rsidR="007B5AEE" w:rsidRPr="00C664C7">
        <w:rPr>
          <w:rFonts w:cs="Times New Roman"/>
          <w:color w:val="000000" w:themeColor="text1"/>
          <w:szCs w:val="20"/>
        </w:rPr>
        <w:t xml:space="preserve"> </w:t>
      </w:r>
      <w:r w:rsidRPr="00C664C7">
        <w:rPr>
          <w:rFonts w:cs="Times New Roman"/>
          <w:color w:val="000000" w:themeColor="text1"/>
          <w:szCs w:val="20"/>
        </w:rPr>
        <w:t>agro-industrial applications</w:t>
      </w:r>
      <w:r w:rsidR="00FB6989" w:rsidRPr="00C664C7">
        <w:rPr>
          <w:rFonts w:cs="Times New Roman"/>
          <w:color w:val="000000" w:themeColor="text1"/>
          <w:szCs w:val="20"/>
        </w:rPr>
        <w:t xml:space="preserve"> (EuSalt 2025)</w:t>
      </w:r>
      <w:r w:rsidRPr="00C664C7">
        <w:rPr>
          <w:rFonts w:cs="Times New Roman"/>
          <w:color w:val="000000" w:themeColor="text1"/>
          <w:szCs w:val="20"/>
        </w:rPr>
        <w:t xml:space="preserve">. Globally, salt production systems </w:t>
      </w:r>
      <w:r w:rsidR="00221806" w:rsidRPr="00C664C7">
        <w:rPr>
          <w:rFonts w:cs="Times New Roman"/>
          <w:color w:val="000000" w:themeColor="text1"/>
          <w:szCs w:val="20"/>
        </w:rPr>
        <w:t>differ based on</w:t>
      </w:r>
      <w:r w:rsidRPr="00C664C7">
        <w:rPr>
          <w:rFonts w:cs="Times New Roman"/>
          <w:color w:val="000000" w:themeColor="text1"/>
          <w:szCs w:val="20"/>
        </w:rPr>
        <w:t xml:space="preserve"> climate, geomorphology, brine sources, energy access, and production technology. Solar evaporation is common in dry coastal and inland areas, while boiling or cooking methods are used where climatic conditions, cultural practices, or small production scales make direct solar crystallization less feasible (Salt Industry Center of Japan </w:t>
      </w:r>
      <w:r w:rsidR="00D34462">
        <w:rPr>
          <w:rFonts w:cs="Times New Roman"/>
          <w:color w:val="000000" w:themeColor="text1"/>
          <w:szCs w:val="20"/>
        </w:rPr>
        <w:t>2026</w:t>
      </w:r>
      <w:r w:rsidRPr="00C664C7">
        <w:rPr>
          <w:rFonts w:cs="Times New Roman"/>
          <w:color w:val="000000" w:themeColor="text1"/>
          <w:szCs w:val="20"/>
        </w:rPr>
        <w:t>; Patel 2024).</w:t>
      </w:r>
    </w:p>
    <w:p w14:paraId="6053E0B2" w14:textId="0792CA06"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In the Philippines, salt production has historically relied on coastal solar evaporation, particularly in </w:t>
      </w:r>
      <w:r w:rsidR="007B5AEE" w:rsidRPr="00C664C7">
        <w:rPr>
          <w:rFonts w:cs="Times New Roman"/>
          <w:color w:val="000000" w:themeColor="text1"/>
          <w:szCs w:val="20"/>
        </w:rPr>
        <w:t xml:space="preserve">areas </w:t>
      </w:r>
      <w:r w:rsidR="007B5AEE">
        <w:rPr>
          <w:rFonts w:cs="Times New Roman"/>
          <w:color w:val="000000" w:themeColor="text1"/>
          <w:szCs w:val="20"/>
        </w:rPr>
        <w:t xml:space="preserve">with </w:t>
      </w:r>
      <w:r w:rsidRPr="00C664C7">
        <w:rPr>
          <w:rFonts w:cs="Times New Roman"/>
          <w:color w:val="000000" w:themeColor="text1"/>
          <w:szCs w:val="20"/>
        </w:rPr>
        <w:t>dry-season</w:t>
      </w:r>
      <w:r w:rsidR="007B5AEE">
        <w:rPr>
          <w:rFonts w:cs="Times New Roman"/>
          <w:color w:val="000000" w:themeColor="text1"/>
          <w:szCs w:val="20"/>
        </w:rPr>
        <w:t>s,</w:t>
      </w:r>
      <w:r w:rsidRPr="00C664C7">
        <w:rPr>
          <w:rFonts w:cs="Times New Roman"/>
          <w:color w:val="000000" w:themeColor="text1"/>
          <w:szCs w:val="20"/>
        </w:rPr>
        <w:t xml:space="preserve"> such as Pangasinan and Occidental Mindoro, while cooking-based and artisanal methods persist in some localities. Recent studies have documented production systems, value-chain issues, profitability, and demographic patterns in selected salt-producing areas (Barba and Delos Reyes 2024; Banicod et al. 2024; Montojo et al. 2024; Tan et al. 2022). These studies consistently point to </w:t>
      </w:r>
      <w:r w:rsidR="007B5AEE" w:rsidRPr="00C664C7">
        <w:rPr>
          <w:rFonts w:cs="Times New Roman"/>
          <w:color w:val="000000" w:themeColor="text1"/>
          <w:szCs w:val="20"/>
        </w:rPr>
        <w:t>declin</w:t>
      </w:r>
      <w:r w:rsidR="007B5AEE">
        <w:rPr>
          <w:rFonts w:cs="Times New Roman"/>
          <w:color w:val="000000" w:themeColor="text1"/>
          <w:szCs w:val="20"/>
        </w:rPr>
        <w:t>ing</w:t>
      </w:r>
      <w:r w:rsidR="007B5AEE" w:rsidRPr="00C664C7">
        <w:rPr>
          <w:rFonts w:cs="Times New Roman"/>
          <w:color w:val="000000" w:themeColor="text1"/>
          <w:szCs w:val="20"/>
        </w:rPr>
        <w:t xml:space="preserve"> </w:t>
      </w:r>
      <w:r w:rsidRPr="00C664C7">
        <w:rPr>
          <w:rFonts w:cs="Times New Roman"/>
          <w:color w:val="000000" w:themeColor="text1"/>
          <w:szCs w:val="20"/>
        </w:rPr>
        <w:t xml:space="preserve">production, </w:t>
      </w:r>
      <w:r w:rsidR="007B5AEE">
        <w:rPr>
          <w:rFonts w:cs="Times New Roman"/>
          <w:color w:val="000000" w:themeColor="text1"/>
          <w:szCs w:val="20"/>
        </w:rPr>
        <w:t xml:space="preserve">an </w:t>
      </w:r>
      <w:r w:rsidRPr="00C664C7">
        <w:rPr>
          <w:rFonts w:cs="Times New Roman"/>
          <w:color w:val="000000" w:themeColor="text1"/>
          <w:szCs w:val="20"/>
        </w:rPr>
        <w:t>aging producer</w:t>
      </w:r>
      <w:r w:rsidR="007B5AEE">
        <w:rPr>
          <w:rFonts w:cs="Times New Roman"/>
          <w:color w:val="000000" w:themeColor="text1"/>
          <w:szCs w:val="20"/>
        </w:rPr>
        <w:t xml:space="preserve"> population</w:t>
      </w:r>
      <w:r w:rsidRPr="00C664C7">
        <w:rPr>
          <w:rFonts w:cs="Times New Roman"/>
          <w:color w:val="000000" w:themeColor="text1"/>
          <w:szCs w:val="20"/>
        </w:rPr>
        <w:t>, low technology adoption, limited market integration, and vulnerability to weather variability.</w:t>
      </w:r>
      <w:r w:rsidR="00FB6989" w:rsidRPr="00C664C7">
        <w:rPr>
          <w:rFonts w:cs="Times New Roman"/>
          <w:color w:val="000000" w:themeColor="text1"/>
          <w:szCs w:val="20"/>
        </w:rPr>
        <w:t xml:space="preserve"> Trade data likewise reflect sustained import dependence for salt and related sodium chloride products (Observatory of Economic Complexity 2024).</w:t>
      </w:r>
    </w:p>
    <w:p w14:paraId="401983AB" w14:textId="1807D8CE" w:rsidR="00BD2741" w:rsidRPr="00C664C7" w:rsidRDefault="00BD2741"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Despite renewed national attention under the Philippine Salt Industry Development Act of 2024 (Republic Act No. 11985 2024), important knowledge gaps remain. </w:t>
      </w:r>
      <w:r w:rsidR="004376D3">
        <w:rPr>
          <w:rFonts w:cs="Times New Roman"/>
          <w:color w:val="000000" w:themeColor="text1"/>
          <w:szCs w:val="20"/>
        </w:rPr>
        <w:t>C</w:t>
      </w:r>
      <w:r w:rsidRPr="00C664C7">
        <w:rPr>
          <w:rFonts w:cs="Times New Roman"/>
          <w:color w:val="000000" w:themeColor="text1"/>
          <w:szCs w:val="20"/>
        </w:rPr>
        <w:t xml:space="preserve">omparative baseline documentation linking producer characteristics, production systems, post-harvest practices, and reported constraints across selected </w:t>
      </w:r>
      <w:r w:rsidR="004376D3">
        <w:rPr>
          <w:rFonts w:cs="Times New Roman"/>
          <w:color w:val="000000" w:themeColor="text1"/>
          <w:szCs w:val="20"/>
        </w:rPr>
        <w:t>salt-</w:t>
      </w:r>
      <w:r w:rsidRPr="00C664C7">
        <w:rPr>
          <w:rFonts w:cs="Times New Roman"/>
          <w:color w:val="000000" w:themeColor="text1"/>
          <w:szCs w:val="20"/>
        </w:rPr>
        <w:t>producing provinces</w:t>
      </w:r>
      <w:r w:rsidR="004376D3">
        <w:rPr>
          <w:rFonts w:cs="Times New Roman"/>
          <w:color w:val="000000" w:themeColor="text1"/>
          <w:szCs w:val="20"/>
        </w:rPr>
        <w:t xml:space="preserve"> remains limited</w:t>
      </w:r>
      <w:r w:rsidRPr="00C664C7">
        <w:rPr>
          <w:rFonts w:cs="Times New Roman"/>
          <w:color w:val="000000" w:themeColor="text1"/>
          <w:szCs w:val="20"/>
        </w:rPr>
        <w:t xml:space="preserve">, </w:t>
      </w:r>
      <w:r w:rsidR="004376D3">
        <w:rPr>
          <w:rFonts w:cs="Times New Roman"/>
          <w:color w:val="000000" w:themeColor="text1"/>
          <w:szCs w:val="20"/>
        </w:rPr>
        <w:t xml:space="preserve">particularly documentation </w:t>
      </w:r>
      <w:r w:rsidRPr="00C664C7">
        <w:rPr>
          <w:rFonts w:cs="Times New Roman"/>
          <w:color w:val="000000" w:themeColor="text1"/>
          <w:szCs w:val="20"/>
        </w:rPr>
        <w:t xml:space="preserve">using a common survey instrument and field observation protocol. This gap is important because developing interventions for the salt industry requires location-specific baseline evidence. </w:t>
      </w:r>
      <w:r w:rsidR="00733AC7">
        <w:rPr>
          <w:rFonts w:cs="Times New Roman"/>
          <w:color w:val="000000" w:themeColor="text1"/>
          <w:szCs w:val="20"/>
        </w:rPr>
        <w:t>Such evidence</w:t>
      </w:r>
      <w:r w:rsidR="00733AC7" w:rsidRPr="00C664C7">
        <w:rPr>
          <w:rFonts w:cs="Times New Roman"/>
          <w:color w:val="000000" w:themeColor="text1"/>
          <w:szCs w:val="20"/>
        </w:rPr>
        <w:t xml:space="preserve"> </w:t>
      </w:r>
      <w:r w:rsidRPr="00C664C7">
        <w:rPr>
          <w:rFonts w:cs="Times New Roman"/>
          <w:color w:val="000000" w:themeColor="text1"/>
          <w:szCs w:val="20"/>
        </w:rPr>
        <w:t xml:space="preserve">provides information </w:t>
      </w:r>
      <w:r w:rsidR="00733AC7">
        <w:rPr>
          <w:rFonts w:cs="Times New Roman"/>
          <w:color w:val="000000" w:themeColor="text1"/>
          <w:szCs w:val="20"/>
        </w:rPr>
        <w:t>about the people engage in</w:t>
      </w:r>
      <w:r w:rsidRPr="00C664C7">
        <w:rPr>
          <w:rFonts w:cs="Times New Roman"/>
          <w:color w:val="000000" w:themeColor="text1"/>
          <w:szCs w:val="20"/>
        </w:rPr>
        <w:t xml:space="preserve"> salt</w:t>
      </w:r>
      <w:r w:rsidR="00733AC7">
        <w:rPr>
          <w:rFonts w:cs="Times New Roman"/>
          <w:color w:val="000000" w:themeColor="text1"/>
          <w:szCs w:val="20"/>
        </w:rPr>
        <w:t xml:space="preserve"> production</w:t>
      </w:r>
      <w:r w:rsidRPr="00C664C7">
        <w:rPr>
          <w:rFonts w:cs="Times New Roman"/>
          <w:color w:val="000000" w:themeColor="text1"/>
          <w:szCs w:val="20"/>
        </w:rPr>
        <w:t xml:space="preserve">, </w:t>
      </w:r>
      <w:r w:rsidR="00733AC7">
        <w:rPr>
          <w:rFonts w:cs="Times New Roman"/>
          <w:color w:val="000000" w:themeColor="text1"/>
          <w:szCs w:val="20"/>
        </w:rPr>
        <w:t>the method they use</w:t>
      </w:r>
      <w:r w:rsidRPr="00C664C7">
        <w:rPr>
          <w:rFonts w:cs="Times New Roman"/>
          <w:color w:val="000000" w:themeColor="text1"/>
          <w:szCs w:val="20"/>
        </w:rPr>
        <w:t xml:space="preserve">, and </w:t>
      </w:r>
      <w:r w:rsidR="00733AC7">
        <w:rPr>
          <w:rFonts w:cs="Times New Roman"/>
          <w:color w:val="000000" w:themeColor="text1"/>
          <w:szCs w:val="20"/>
        </w:rPr>
        <w:t>the</w:t>
      </w:r>
      <w:r w:rsidR="00733AC7" w:rsidRPr="00C664C7">
        <w:rPr>
          <w:rFonts w:cs="Times New Roman"/>
          <w:color w:val="000000" w:themeColor="text1"/>
          <w:szCs w:val="20"/>
        </w:rPr>
        <w:t xml:space="preserve"> </w:t>
      </w:r>
      <w:r w:rsidRPr="00C664C7">
        <w:rPr>
          <w:rFonts w:cs="Times New Roman"/>
          <w:color w:val="000000" w:themeColor="text1"/>
          <w:szCs w:val="20"/>
        </w:rPr>
        <w:t xml:space="preserve">operational and market constraints </w:t>
      </w:r>
      <w:r w:rsidR="00733AC7">
        <w:rPr>
          <w:rFonts w:cs="Times New Roman"/>
          <w:color w:val="000000" w:themeColor="text1"/>
          <w:szCs w:val="20"/>
        </w:rPr>
        <w:t>they</w:t>
      </w:r>
      <w:r w:rsidRPr="00C664C7">
        <w:rPr>
          <w:rFonts w:cs="Times New Roman"/>
          <w:color w:val="000000" w:themeColor="text1"/>
          <w:szCs w:val="20"/>
        </w:rPr>
        <w:t xml:space="preserve"> encounter at the </w:t>
      </w:r>
      <w:r w:rsidR="00733AC7">
        <w:rPr>
          <w:rFonts w:cs="Times New Roman"/>
          <w:color w:val="000000" w:themeColor="text1"/>
          <w:szCs w:val="20"/>
        </w:rPr>
        <w:t>production</w:t>
      </w:r>
      <w:r w:rsidR="00733AC7" w:rsidRPr="00C664C7">
        <w:rPr>
          <w:rFonts w:cs="Times New Roman"/>
          <w:color w:val="000000" w:themeColor="text1"/>
          <w:szCs w:val="20"/>
        </w:rPr>
        <w:t xml:space="preserve"> </w:t>
      </w:r>
      <w:r w:rsidRPr="00C664C7">
        <w:rPr>
          <w:rFonts w:cs="Times New Roman"/>
          <w:color w:val="000000" w:themeColor="text1"/>
          <w:szCs w:val="20"/>
        </w:rPr>
        <w:t xml:space="preserve">level. </w:t>
      </w:r>
    </w:p>
    <w:p w14:paraId="04DFB16F" w14:textId="1268870E"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This study is therefore framed as a baseline characterization and documentation study rather than a direct assessment of empowerment outcomes or industry development impacts. </w:t>
      </w:r>
      <w:r w:rsidR="00733AC7">
        <w:rPr>
          <w:rFonts w:cs="Times New Roman"/>
          <w:color w:val="000000" w:themeColor="text1"/>
          <w:szCs w:val="20"/>
        </w:rPr>
        <w:t>I</w:t>
      </w:r>
      <w:r w:rsidRPr="00C664C7">
        <w:rPr>
          <w:rFonts w:cs="Times New Roman"/>
          <w:color w:val="000000" w:themeColor="text1"/>
          <w:szCs w:val="20"/>
        </w:rPr>
        <w:t xml:space="preserve">t does not </w:t>
      </w:r>
      <w:r w:rsidR="00733AC7">
        <w:rPr>
          <w:rFonts w:cs="Times New Roman"/>
          <w:color w:val="000000" w:themeColor="text1"/>
          <w:szCs w:val="20"/>
        </w:rPr>
        <w:t>assess</w:t>
      </w:r>
      <w:r w:rsidRPr="00C664C7">
        <w:rPr>
          <w:rFonts w:cs="Times New Roman"/>
          <w:color w:val="000000" w:themeColor="text1"/>
          <w:szCs w:val="20"/>
        </w:rPr>
        <w:t xml:space="preserve"> household income effects, market value, or intervention effectiveness. Instead, it generates descriptive evidence that can inform </w:t>
      </w:r>
      <w:r w:rsidR="00BD3094" w:rsidRPr="00C664C7">
        <w:rPr>
          <w:rFonts w:cs="Times New Roman"/>
          <w:color w:val="000000" w:themeColor="text1"/>
          <w:szCs w:val="20"/>
        </w:rPr>
        <w:t>subsequent</w:t>
      </w:r>
      <w:r w:rsidRPr="00C664C7">
        <w:rPr>
          <w:rFonts w:cs="Times New Roman"/>
          <w:color w:val="000000" w:themeColor="text1"/>
          <w:szCs w:val="20"/>
        </w:rPr>
        <w:t xml:space="preserve"> socioeconomic, technological, and policy studies and guide </w:t>
      </w:r>
      <w:r w:rsidR="00733AC7">
        <w:rPr>
          <w:rFonts w:cs="Times New Roman"/>
          <w:color w:val="000000" w:themeColor="text1"/>
          <w:szCs w:val="20"/>
        </w:rPr>
        <w:t xml:space="preserve">the </w:t>
      </w:r>
      <w:r w:rsidRPr="00C664C7">
        <w:rPr>
          <w:rFonts w:cs="Times New Roman"/>
          <w:color w:val="000000" w:themeColor="text1"/>
          <w:szCs w:val="20"/>
        </w:rPr>
        <w:t>priorit</w:t>
      </w:r>
      <w:r w:rsidR="00733AC7">
        <w:rPr>
          <w:rFonts w:cs="Times New Roman"/>
          <w:color w:val="000000" w:themeColor="text1"/>
          <w:szCs w:val="20"/>
        </w:rPr>
        <w:t>ization</w:t>
      </w:r>
      <w:r w:rsidR="00BD3094" w:rsidRPr="00C664C7">
        <w:rPr>
          <w:rFonts w:cs="Times New Roman"/>
          <w:color w:val="000000" w:themeColor="text1"/>
          <w:szCs w:val="20"/>
        </w:rPr>
        <w:t xml:space="preserve"> </w:t>
      </w:r>
      <w:r w:rsidR="00733AC7">
        <w:rPr>
          <w:rFonts w:cs="Times New Roman"/>
          <w:color w:val="000000" w:themeColor="text1"/>
          <w:szCs w:val="20"/>
        </w:rPr>
        <w:t>of</w:t>
      </w:r>
      <w:r w:rsidRPr="00C664C7">
        <w:rPr>
          <w:rFonts w:cs="Times New Roman"/>
          <w:color w:val="000000" w:themeColor="text1"/>
          <w:szCs w:val="20"/>
        </w:rPr>
        <w:t xml:space="preserve"> industry support</w:t>
      </w:r>
      <w:r w:rsidR="00733AC7">
        <w:rPr>
          <w:rFonts w:cs="Times New Roman"/>
          <w:color w:val="000000" w:themeColor="text1"/>
          <w:szCs w:val="20"/>
        </w:rPr>
        <w:t xml:space="preserve"> initiatives</w:t>
      </w:r>
      <w:r w:rsidRPr="00C664C7">
        <w:rPr>
          <w:rFonts w:cs="Times New Roman"/>
          <w:color w:val="000000" w:themeColor="text1"/>
          <w:szCs w:val="20"/>
        </w:rPr>
        <w:t>.</w:t>
      </w:r>
    </w:p>
    <w:p w14:paraId="432A6AF2" w14:textId="59A7B8B9" w:rsidR="0057225B" w:rsidRPr="001460F0" w:rsidRDefault="00AB60E9" w:rsidP="00F4763B">
      <w:pPr>
        <w:spacing w:after="0" w:line="480" w:lineRule="auto"/>
        <w:ind w:firstLine="567"/>
        <w:jc w:val="both"/>
        <w:rPr>
          <w:rFonts w:cs="Times New Roman"/>
          <w:szCs w:val="20"/>
        </w:rPr>
      </w:pPr>
      <w:r>
        <w:rPr>
          <w:rFonts w:cs="Times New Roman"/>
          <w:color w:val="000000" w:themeColor="text1"/>
          <w:szCs w:val="20"/>
        </w:rPr>
        <w:t>The study</w:t>
      </w:r>
      <w:r w:rsidRPr="00C664C7">
        <w:rPr>
          <w:rFonts w:cs="Times New Roman"/>
          <w:color w:val="000000" w:themeColor="text1"/>
          <w:szCs w:val="20"/>
        </w:rPr>
        <w:t xml:space="preserve"> </w:t>
      </w:r>
      <w:r w:rsidR="00733AC7">
        <w:rPr>
          <w:rFonts w:cs="Times New Roman"/>
          <w:color w:val="000000" w:themeColor="text1"/>
          <w:szCs w:val="20"/>
        </w:rPr>
        <w:t>links</w:t>
      </w:r>
      <w:r w:rsidR="00733AC7" w:rsidRPr="00C664C7">
        <w:rPr>
          <w:rFonts w:cs="Times New Roman"/>
          <w:color w:val="000000" w:themeColor="text1"/>
          <w:szCs w:val="20"/>
        </w:rPr>
        <w:t xml:space="preserve"> </w:t>
      </w:r>
      <w:r w:rsidRPr="00C664C7">
        <w:rPr>
          <w:rFonts w:cs="Times New Roman"/>
          <w:color w:val="000000" w:themeColor="text1"/>
          <w:szCs w:val="20"/>
        </w:rPr>
        <w:t xml:space="preserve">the production context, producer profile, salt-making systems, post-harvest practices, and reported constraints to potential </w:t>
      </w:r>
      <w:r w:rsidR="00473AFD" w:rsidRPr="00C664C7">
        <w:rPr>
          <w:rFonts w:cs="Times New Roman"/>
          <w:color w:val="000000" w:themeColor="text1"/>
          <w:szCs w:val="20"/>
        </w:rPr>
        <w:t>intervention</w:t>
      </w:r>
      <w:r w:rsidRPr="00C664C7">
        <w:rPr>
          <w:rFonts w:cs="Times New Roman"/>
          <w:color w:val="000000" w:themeColor="text1"/>
          <w:szCs w:val="20"/>
        </w:rPr>
        <w:t xml:space="preserve"> </w:t>
      </w:r>
      <w:r w:rsidR="00473AFD" w:rsidRPr="00C664C7">
        <w:rPr>
          <w:rFonts w:cs="Times New Roman"/>
          <w:color w:val="000000" w:themeColor="text1"/>
          <w:szCs w:val="20"/>
        </w:rPr>
        <w:t>areas</w:t>
      </w:r>
      <w:r w:rsidRPr="00C664C7">
        <w:rPr>
          <w:rFonts w:cs="Times New Roman"/>
          <w:color w:val="000000" w:themeColor="text1"/>
          <w:szCs w:val="20"/>
        </w:rPr>
        <w:t xml:space="preserve">. It </w:t>
      </w:r>
      <w:r w:rsidR="00733AC7">
        <w:rPr>
          <w:rFonts w:cs="Times New Roman"/>
          <w:color w:val="000000" w:themeColor="text1"/>
          <w:szCs w:val="20"/>
        </w:rPr>
        <w:t xml:space="preserve">is premised </w:t>
      </w:r>
      <w:r w:rsidR="009C4B08">
        <w:rPr>
          <w:rFonts w:cs="Times New Roman"/>
          <w:color w:val="000000" w:themeColor="text1"/>
          <w:szCs w:val="20"/>
        </w:rPr>
        <w:t xml:space="preserve">on the </w:t>
      </w:r>
      <w:r w:rsidRPr="00C664C7">
        <w:rPr>
          <w:rFonts w:cs="Times New Roman"/>
          <w:color w:val="000000" w:themeColor="text1"/>
          <w:szCs w:val="20"/>
        </w:rPr>
        <w:t>assum</w:t>
      </w:r>
      <w:r w:rsidR="009C4B08">
        <w:rPr>
          <w:rFonts w:cs="Times New Roman"/>
          <w:color w:val="000000" w:themeColor="text1"/>
          <w:szCs w:val="20"/>
        </w:rPr>
        <w:t>ption</w:t>
      </w:r>
      <w:r w:rsidRPr="00C664C7">
        <w:rPr>
          <w:rFonts w:cs="Times New Roman"/>
          <w:color w:val="000000" w:themeColor="text1"/>
          <w:szCs w:val="20"/>
        </w:rPr>
        <w:t xml:space="preserve"> that systematic</w:t>
      </w:r>
      <w:r>
        <w:rPr>
          <w:rFonts w:cs="Times New Roman"/>
          <w:color w:val="000000" w:themeColor="text1"/>
          <w:szCs w:val="20"/>
        </w:rPr>
        <w:t>ally</w:t>
      </w:r>
      <w:r w:rsidRPr="00C664C7">
        <w:rPr>
          <w:rFonts w:cs="Times New Roman"/>
          <w:color w:val="000000" w:themeColor="text1"/>
          <w:szCs w:val="20"/>
        </w:rPr>
        <w:t xml:space="preserve"> </w:t>
      </w:r>
      <w:r>
        <w:rPr>
          <w:rFonts w:cs="Times New Roman"/>
          <w:color w:val="000000" w:themeColor="text1"/>
          <w:szCs w:val="20"/>
        </w:rPr>
        <w:t>documenting</w:t>
      </w:r>
      <w:r w:rsidRPr="00C664C7">
        <w:rPr>
          <w:rFonts w:cs="Times New Roman"/>
          <w:color w:val="000000" w:themeColor="text1"/>
          <w:szCs w:val="20"/>
        </w:rPr>
        <w:t xml:space="preserve"> these baseline conditions can help identify gaps in technology, infrastructure, market linkage</w:t>
      </w:r>
      <w:r>
        <w:rPr>
          <w:rFonts w:cs="Times New Roman"/>
          <w:color w:val="000000" w:themeColor="text1"/>
          <w:szCs w:val="20"/>
        </w:rPr>
        <w:t>s</w:t>
      </w:r>
      <w:r w:rsidRPr="00C664C7">
        <w:rPr>
          <w:rFonts w:cs="Times New Roman"/>
          <w:color w:val="000000" w:themeColor="text1"/>
          <w:szCs w:val="20"/>
        </w:rPr>
        <w:t>, and institutional support</w:t>
      </w:r>
      <w:r w:rsidR="008B0003" w:rsidRPr="00C664C7">
        <w:rPr>
          <w:rFonts w:cs="Times New Roman"/>
          <w:color w:val="000000" w:themeColor="text1"/>
          <w:szCs w:val="20"/>
        </w:rPr>
        <w:t xml:space="preserve">. However, </w:t>
      </w:r>
      <w:r w:rsidRPr="00C664C7">
        <w:rPr>
          <w:rFonts w:cs="Times New Roman"/>
          <w:color w:val="000000" w:themeColor="text1"/>
          <w:szCs w:val="20"/>
        </w:rPr>
        <w:t>the actual effectiveness of these interventions requires separate evaluation</w:t>
      </w:r>
      <w:r w:rsidR="008B0003" w:rsidRPr="00C664C7">
        <w:rPr>
          <w:rFonts w:cs="Times New Roman"/>
          <w:color w:val="000000" w:themeColor="text1"/>
          <w:szCs w:val="20"/>
        </w:rPr>
        <w:t xml:space="preserve">, which </w:t>
      </w:r>
      <w:r w:rsidR="009C4B08">
        <w:rPr>
          <w:rFonts w:cs="Times New Roman"/>
          <w:color w:val="000000" w:themeColor="text1"/>
          <w:szCs w:val="20"/>
        </w:rPr>
        <w:t>falls outside the scope of the</w:t>
      </w:r>
      <w:r w:rsidR="008B0003" w:rsidRPr="00C664C7">
        <w:rPr>
          <w:rFonts w:cs="Times New Roman"/>
          <w:color w:val="000000" w:themeColor="text1"/>
          <w:szCs w:val="20"/>
        </w:rPr>
        <w:t xml:space="preserve"> present study</w:t>
      </w:r>
      <w:r w:rsidRPr="00C664C7">
        <w:rPr>
          <w:rFonts w:cs="Times New Roman"/>
          <w:color w:val="000000" w:themeColor="text1"/>
          <w:szCs w:val="20"/>
        </w:rPr>
        <w:t>.</w:t>
      </w:r>
    </w:p>
    <w:p w14:paraId="6C2F5C2F" w14:textId="77777777"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The general objective of this study was to document and characterize salt-making practices and constraints in selected major salt-producing provinces in the Philippines. Specifically, the study aimed to: (1) describe the socioeconomic profile and respondent role/land access arrangement of salt makers; (2) document production systems, including solar evaporation, HDPE-lined solar crystallization beds, and cooking-based production, as well as packaging, storage, and marketing-related practices; and (3) identify the primary production, processing, distribution, and marketing constraints reported by salt producers.</w:t>
      </w:r>
    </w:p>
    <w:p w14:paraId="6FF05E8C" w14:textId="77777777" w:rsidR="00AA1700" w:rsidRPr="00C664C7" w:rsidRDefault="00000000" w:rsidP="00193DD3">
      <w:pPr>
        <w:rPr>
          <w:b/>
          <w:bCs/>
          <w:color w:val="000000" w:themeColor="text1"/>
        </w:rPr>
      </w:pPr>
      <w:r w:rsidRPr="00C664C7">
        <w:rPr>
          <w:b/>
          <w:bCs/>
          <w:color w:val="000000" w:themeColor="text1"/>
        </w:rPr>
        <w:t>METHODS</w:t>
      </w:r>
    </w:p>
    <w:p w14:paraId="7368269B" w14:textId="5EBBB8D7" w:rsidR="00AA1700" w:rsidRPr="00C664C7" w:rsidRDefault="00000000" w:rsidP="00193DD3">
      <w:pPr>
        <w:rPr>
          <w:b/>
          <w:bCs/>
          <w:color w:val="000000" w:themeColor="text1"/>
        </w:rPr>
      </w:pPr>
      <w:r w:rsidRPr="00C664C7">
        <w:rPr>
          <w:b/>
          <w:bCs/>
          <w:color w:val="000000" w:themeColor="text1"/>
        </w:rPr>
        <w:t xml:space="preserve">Research </w:t>
      </w:r>
      <w:r w:rsidR="00193DD3" w:rsidRPr="00C664C7">
        <w:rPr>
          <w:b/>
          <w:bCs/>
          <w:color w:val="000000" w:themeColor="text1"/>
        </w:rPr>
        <w:t>Design, Study Areas, and Respondent Selection</w:t>
      </w:r>
    </w:p>
    <w:p w14:paraId="7D9DEAFC" w14:textId="0DCE6CA2"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The study used a descriptive cross-sectional research design supported by field observation and site documentation. The documentation and assessment were conducted in selected salt-producing provinces</w:t>
      </w:r>
      <w:r w:rsidR="00287D65" w:rsidRPr="00C664C7">
        <w:rPr>
          <w:rFonts w:cs="Times New Roman"/>
          <w:color w:val="000000" w:themeColor="text1"/>
          <w:szCs w:val="20"/>
        </w:rPr>
        <w:t xml:space="preserve"> </w:t>
      </w:r>
      <w:r w:rsidR="009C4B08">
        <w:rPr>
          <w:rFonts w:cs="Times New Roman"/>
          <w:color w:val="000000" w:themeColor="text1"/>
          <w:szCs w:val="20"/>
        </w:rPr>
        <w:t xml:space="preserve">in the following </w:t>
      </w:r>
      <w:r w:rsidR="00287D65" w:rsidRPr="00C664C7">
        <w:rPr>
          <w:rFonts w:cs="Times New Roman"/>
          <w:color w:val="000000" w:themeColor="text1"/>
          <w:szCs w:val="20"/>
        </w:rPr>
        <w:t>regions</w:t>
      </w:r>
      <w:r w:rsidRPr="00C664C7">
        <w:rPr>
          <w:rFonts w:cs="Times New Roman"/>
          <w:color w:val="000000" w:themeColor="text1"/>
          <w:szCs w:val="20"/>
        </w:rPr>
        <w:t>: Ilocos Norte, Ilocos Sur, La Union, Pangasinan, Zambales, Bulacan, Occidental Mindoro, Iloilo, Guimaras, Negros Occidental, and Misamis Oriental. These provinces were purposively selected because they are recognized salt-producing areas and were included in the project field documentation plan.</w:t>
      </w:r>
    </w:p>
    <w:p w14:paraId="2E4CCE4B" w14:textId="209FF523" w:rsidR="00AA1700"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Two data sources were used to guide respondent coverage. The BFAR master list </w:t>
      </w:r>
      <w:r w:rsidR="00047B03">
        <w:rPr>
          <w:rFonts w:cs="Times New Roman"/>
          <w:color w:val="000000" w:themeColor="text1"/>
          <w:szCs w:val="20"/>
        </w:rPr>
        <w:t>(N=</w:t>
      </w:r>
      <w:r w:rsidR="005D7D6C">
        <w:rPr>
          <w:rFonts w:cs="Times New Roman"/>
          <w:color w:val="000000" w:themeColor="text1"/>
          <w:szCs w:val="20"/>
        </w:rPr>
        <w:t>1079</w:t>
      </w:r>
      <w:r w:rsidR="00047B03">
        <w:rPr>
          <w:rFonts w:cs="Times New Roman"/>
          <w:color w:val="000000" w:themeColor="text1"/>
          <w:szCs w:val="20"/>
        </w:rPr>
        <w:t>)</w:t>
      </w:r>
      <w:r w:rsidR="005D7D6C">
        <w:rPr>
          <w:rFonts w:cs="Times New Roman"/>
          <w:color w:val="000000" w:themeColor="text1"/>
          <w:szCs w:val="20"/>
        </w:rPr>
        <w:t xml:space="preserve"> </w:t>
      </w:r>
      <w:r w:rsidRPr="00C664C7">
        <w:rPr>
          <w:rFonts w:cs="Times New Roman"/>
          <w:color w:val="000000" w:themeColor="text1"/>
          <w:szCs w:val="20"/>
        </w:rPr>
        <w:t xml:space="preserve">was first used to identify the indicative population of salt producers and farm-size categories in </w:t>
      </w:r>
      <w:r w:rsidR="009C4B08">
        <w:rPr>
          <w:rFonts w:cs="Times New Roman"/>
          <w:color w:val="000000" w:themeColor="text1"/>
          <w:szCs w:val="20"/>
        </w:rPr>
        <w:t xml:space="preserve">the </w:t>
      </w:r>
      <w:r w:rsidRPr="00C664C7">
        <w:rPr>
          <w:rFonts w:cs="Times New Roman"/>
          <w:color w:val="000000" w:themeColor="text1"/>
          <w:szCs w:val="20"/>
        </w:rPr>
        <w:t>target provinces. This list provided the basis for estimating the minimum sample requirement using Slovin’s formula at a 5% margin of error: n = N / (1 + N</w:t>
      </w:r>
      <w:r w:rsidR="00287D65" w:rsidRPr="00C664C7">
        <w:rPr>
          <w:rFonts w:cs="Times New Roman"/>
          <w:color w:val="000000" w:themeColor="text1"/>
          <w:szCs w:val="20"/>
        </w:rPr>
        <w:t xml:space="preserve"> </w:t>
      </w:r>
      <w:r w:rsidRPr="00C664C7">
        <w:rPr>
          <w:rFonts w:cs="Times New Roman"/>
          <w:color w:val="000000" w:themeColor="text1"/>
          <w:szCs w:val="20"/>
        </w:rPr>
        <w:t>e</w:t>
      </w:r>
      <w:r w:rsidRPr="00C664C7">
        <w:rPr>
          <w:rFonts w:cs="Times New Roman"/>
          <w:color w:val="000000" w:themeColor="text1"/>
          <w:szCs w:val="20"/>
          <w:vertAlign w:val="superscript"/>
        </w:rPr>
        <w:t>2</w:t>
      </w:r>
      <w:r w:rsidRPr="00C664C7">
        <w:rPr>
          <w:rFonts w:cs="Times New Roman"/>
          <w:color w:val="000000" w:themeColor="text1"/>
          <w:szCs w:val="20"/>
        </w:rPr>
        <w:t xml:space="preserve">), where n is the required sample size, N is the population size, and e is the margin of error. The formula was applied to the BFAR-listed population and farm-size categories to determine the minimum target coverage. During field implementation, however, the Provincial Local Government Unit (PLGU) and municipal/city agriculture offices provided updated operational lists and assisted in locating active producers. The final 590 respondents </w:t>
      </w:r>
      <w:r w:rsidR="00B21100">
        <w:rPr>
          <w:rFonts w:cs="Times New Roman"/>
          <w:color w:val="000000" w:themeColor="text1"/>
          <w:szCs w:val="20"/>
        </w:rPr>
        <w:t xml:space="preserve">(Table 1) </w:t>
      </w:r>
      <w:r w:rsidRPr="00C664C7">
        <w:rPr>
          <w:rFonts w:cs="Times New Roman"/>
          <w:color w:val="000000" w:themeColor="text1"/>
          <w:szCs w:val="20"/>
        </w:rPr>
        <w:t xml:space="preserve">therefore represent the actual </w:t>
      </w:r>
      <w:r w:rsidR="00287D65" w:rsidRPr="00C664C7">
        <w:rPr>
          <w:rFonts w:cs="Times New Roman"/>
          <w:color w:val="000000" w:themeColor="text1"/>
          <w:szCs w:val="20"/>
        </w:rPr>
        <w:t xml:space="preserve">number of </w:t>
      </w:r>
      <w:r w:rsidRPr="00C664C7">
        <w:rPr>
          <w:rFonts w:cs="Times New Roman"/>
          <w:color w:val="000000" w:themeColor="text1"/>
          <w:szCs w:val="20"/>
        </w:rPr>
        <w:t xml:space="preserve">accessible and consenting salt producers identified during PLGU-assisted fieldwork, exceeding the minimum sample </w:t>
      </w:r>
      <w:r w:rsidR="00287D65" w:rsidRPr="00C664C7">
        <w:rPr>
          <w:rFonts w:cs="Times New Roman"/>
          <w:color w:val="000000" w:themeColor="text1"/>
          <w:szCs w:val="20"/>
        </w:rPr>
        <w:t xml:space="preserve">size </w:t>
      </w:r>
      <w:r w:rsidR="005D7D6C">
        <w:rPr>
          <w:rFonts w:cs="Times New Roman"/>
          <w:color w:val="000000" w:themeColor="text1"/>
          <w:szCs w:val="20"/>
        </w:rPr>
        <w:t xml:space="preserve">(n = 292) </w:t>
      </w:r>
      <w:r w:rsidRPr="00C664C7">
        <w:rPr>
          <w:rFonts w:cs="Times New Roman"/>
          <w:color w:val="000000" w:themeColor="text1"/>
          <w:szCs w:val="20"/>
        </w:rPr>
        <w:t>estimated from the BFAR list.</w:t>
      </w:r>
    </w:p>
    <w:p w14:paraId="3802C2AE" w14:textId="26DB8F89" w:rsidR="0057225B" w:rsidRPr="00157E06" w:rsidRDefault="0057225B" w:rsidP="00157E06">
      <w:pPr>
        <w:spacing w:after="0" w:line="480" w:lineRule="auto"/>
        <w:jc w:val="both"/>
        <w:rPr>
          <w:rFonts w:cs="Times New Roman"/>
          <w:bCs/>
          <w:color w:val="000000" w:themeColor="text1"/>
          <w:sz w:val="18"/>
          <w:szCs w:val="18"/>
        </w:rPr>
      </w:pPr>
      <w:r w:rsidRPr="00157E06">
        <w:rPr>
          <w:rFonts w:cs="Times New Roman"/>
          <w:b/>
          <w:color w:val="000000" w:themeColor="text1"/>
          <w:sz w:val="18"/>
          <w:szCs w:val="18"/>
        </w:rPr>
        <w:t xml:space="preserve">Table 1. </w:t>
      </w:r>
      <w:r w:rsidRPr="00157E06">
        <w:rPr>
          <w:rFonts w:cs="Times New Roman"/>
          <w:bCs/>
          <w:color w:val="000000" w:themeColor="text1"/>
          <w:sz w:val="18"/>
          <w:szCs w:val="18"/>
        </w:rPr>
        <w:t xml:space="preserve">Number of respondents by region and province based on </w:t>
      </w:r>
      <w:r w:rsidR="009C4B08" w:rsidRPr="00157E06">
        <w:rPr>
          <w:rFonts w:cs="Times New Roman"/>
          <w:bCs/>
          <w:color w:val="000000" w:themeColor="text1"/>
          <w:sz w:val="18"/>
          <w:szCs w:val="18"/>
        </w:rPr>
        <w:t>field implementation</w:t>
      </w:r>
      <w:r w:rsidR="009C4B08" w:rsidRPr="00157E06">
        <w:rPr>
          <w:rFonts w:cs="Times New Roman"/>
          <w:color w:val="000000" w:themeColor="text1"/>
          <w:sz w:val="18"/>
          <w:szCs w:val="18"/>
        </w:rPr>
        <w:t xml:space="preserve"> </w:t>
      </w:r>
      <w:r w:rsidR="009C4B08" w:rsidRPr="00157E06">
        <w:rPr>
          <w:rFonts w:cs="Times New Roman"/>
          <w:bCs/>
          <w:color w:val="000000" w:themeColor="text1"/>
          <w:sz w:val="18"/>
          <w:szCs w:val="18"/>
        </w:rPr>
        <w:t>assisted</w:t>
      </w:r>
      <w:r w:rsidR="009C4B08" w:rsidRPr="00157E06">
        <w:rPr>
          <w:rFonts w:cs="Times New Roman"/>
          <w:color w:val="000000" w:themeColor="text1"/>
          <w:sz w:val="18"/>
          <w:szCs w:val="18"/>
        </w:rPr>
        <w:t xml:space="preserve"> by </w:t>
      </w:r>
      <w:r w:rsidRPr="00157E06">
        <w:rPr>
          <w:rFonts w:cs="Times New Roman"/>
          <w:color w:val="000000" w:themeColor="text1"/>
          <w:sz w:val="18"/>
          <w:szCs w:val="18"/>
        </w:rPr>
        <w:t>Provincial Local Government Unit</w:t>
      </w:r>
      <w:r w:rsidR="009C4B08" w:rsidRPr="00157E06">
        <w:rPr>
          <w:rFonts w:cs="Times New Roman"/>
          <w:bCs/>
          <w:color w:val="000000" w:themeColor="text1"/>
          <w:sz w:val="18"/>
          <w:szCs w:val="18"/>
        </w:rPr>
        <w:t>s</w:t>
      </w:r>
      <w:r w:rsidRPr="00157E06">
        <w:rPr>
          <w:rFonts w:cs="Times New Roman"/>
          <w:bCs/>
          <w:color w:val="000000" w:themeColor="text1"/>
          <w:sz w:val="18"/>
          <w:szCs w:val="18"/>
        </w:rPr>
        <w:t>.</w:t>
      </w:r>
    </w:p>
    <w:p w14:paraId="5B836AAA" w14:textId="77777777" w:rsidR="0057225B" w:rsidRPr="00214DA3" w:rsidRDefault="0057225B" w:rsidP="0057225B">
      <w:pPr>
        <w:spacing w:after="0" w:line="240" w:lineRule="auto"/>
        <w:rPr>
          <w:rFonts w:cs="Times New Roman"/>
          <w:bCs/>
          <w:color w:val="000000" w:themeColor="text1"/>
          <w:szCs w:val="20"/>
        </w:rPr>
      </w:pPr>
    </w:p>
    <w:tbl>
      <w:tblPr>
        <w:tblStyle w:val="TableGrid"/>
        <w:tblW w:w="0" w:type="auto"/>
        <w:jc w:val="center"/>
        <w:tblLook w:val="04A0" w:firstRow="1" w:lastRow="0" w:firstColumn="1" w:lastColumn="0" w:noHBand="0" w:noVBand="1"/>
      </w:tblPr>
      <w:tblGrid>
        <w:gridCol w:w="1152"/>
        <w:gridCol w:w="3456"/>
        <w:gridCol w:w="1728"/>
      </w:tblGrid>
      <w:tr w:rsidR="0057225B" w:rsidRPr="00214DA3" w14:paraId="1B11CA87" w14:textId="77777777" w:rsidTr="00B6368A">
        <w:trPr>
          <w:jc w:val="center"/>
        </w:trPr>
        <w:tc>
          <w:tcPr>
            <w:tcW w:w="1152" w:type="dxa"/>
          </w:tcPr>
          <w:p w14:paraId="5CF36E51" w14:textId="77777777" w:rsidR="0057225B" w:rsidRPr="00214DA3" w:rsidRDefault="0057225B" w:rsidP="009E0D55">
            <w:pPr>
              <w:jc w:val="center"/>
              <w:rPr>
                <w:rFonts w:cs="Times New Roman"/>
                <w:color w:val="000000" w:themeColor="text1"/>
                <w:szCs w:val="20"/>
              </w:rPr>
            </w:pPr>
            <w:r w:rsidRPr="00214DA3">
              <w:rPr>
                <w:rFonts w:cs="Times New Roman"/>
                <w:b/>
                <w:color w:val="000000" w:themeColor="text1"/>
                <w:szCs w:val="20"/>
              </w:rPr>
              <w:t>Region</w:t>
            </w:r>
          </w:p>
        </w:tc>
        <w:tc>
          <w:tcPr>
            <w:tcW w:w="3456" w:type="dxa"/>
          </w:tcPr>
          <w:p w14:paraId="01DC02DB" w14:textId="77777777" w:rsidR="0057225B" w:rsidRPr="00214DA3" w:rsidRDefault="0057225B" w:rsidP="009E0D55">
            <w:pPr>
              <w:jc w:val="center"/>
              <w:rPr>
                <w:rFonts w:cs="Times New Roman"/>
                <w:color w:val="000000" w:themeColor="text1"/>
                <w:szCs w:val="20"/>
              </w:rPr>
            </w:pPr>
            <w:r w:rsidRPr="00214DA3">
              <w:rPr>
                <w:rFonts w:cs="Times New Roman"/>
                <w:b/>
                <w:color w:val="000000" w:themeColor="text1"/>
                <w:szCs w:val="20"/>
              </w:rPr>
              <w:t>Province</w:t>
            </w:r>
          </w:p>
        </w:tc>
        <w:tc>
          <w:tcPr>
            <w:tcW w:w="1728" w:type="dxa"/>
          </w:tcPr>
          <w:p w14:paraId="70662E79" w14:textId="77777777" w:rsidR="0057225B" w:rsidRPr="00214DA3" w:rsidRDefault="0057225B" w:rsidP="009E0D55">
            <w:pPr>
              <w:jc w:val="center"/>
              <w:rPr>
                <w:rFonts w:cs="Times New Roman"/>
                <w:color w:val="000000" w:themeColor="text1"/>
                <w:szCs w:val="20"/>
              </w:rPr>
            </w:pPr>
            <w:r w:rsidRPr="00214DA3">
              <w:rPr>
                <w:rFonts w:cs="Times New Roman"/>
                <w:b/>
                <w:color w:val="000000" w:themeColor="text1"/>
                <w:szCs w:val="20"/>
              </w:rPr>
              <w:t>Respondents</w:t>
            </w:r>
          </w:p>
        </w:tc>
      </w:tr>
      <w:tr w:rsidR="0057225B" w:rsidRPr="00214DA3" w14:paraId="17A95857" w14:textId="77777777" w:rsidTr="00B6368A">
        <w:trPr>
          <w:jc w:val="center"/>
        </w:trPr>
        <w:tc>
          <w:tcPr>
            <w:tcW w:w="1152" w:type="dxa"/>
          </w:tcPr>
          <w:p w14:paraId="14935D1C"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w:t>
            </w:r>
          </w:p>
        </w:tc>
        <w:tc>
          <w:tcPr>
            <w:tcW w:w="3456" w:type="dxa"/>
          </w:tcPr>
          <w:p w14:paraId="7467BA42"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Ilocos Norte</w:t>
            </w:r>
          </w:p>
        </w:tc>
        <w:tc>
          <w:tcPr>
            <w:tcW w:w="1728" w:type="dxa"/>
          </w:tcPr>
          <w:p w14:paraId="4A6173EE"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33</w:t>
            </w:r>
          </w:p>
        </w:tc>
      </w:tr>
      <w:tr w:rsidR="0057225B" w:rsidRPr="00214DA3" w14:paraId="584925C4" w14:textId="77777777" w:rsidTr="00B6368A">
        <w:trPr>
          <w:jc w:val="center"/>
        </w:trPr>
        <w:tc>
          <w:tcPr>
            <w:tcW w:w="1152" w:type="dxa"/>
          </w:tcPr>
          <w:p w14:paraId="56AEC424"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w:t>
            </w:r>
          </w:p>
        </w:tc>
        <w:tc>
          <w:tcPr>
            <w:tcW w:w="3456" w:type="dxa"/>
          </w:tcPr>
          <w:p w14:paraId="09A77E4F"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Ilocos Sur</w:t>
            </w:r>
          </w:p>
        </w:tc>
        <w:tc>
          <w:tcPr>
            <w:tcW w:w="1728" w:type="dxa"/>
          </w:tcPr>
          <w:p w14:paraId="79A55F62"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54</w:t>
            </w:r>
          </w:p>
        </w:tc>
      </w:tr>
      <w:tr w:rsidR="0057225B" w:rsidRPr="00214DA3" w14:paraId="3A4198E0" w14:textId="77777777" w:rsidTr="00B6368A">
        <w:trPr>
          <w:jc w:val="center"/>
        </w:trPr>
        <w:tc>
          <w:tcPr>
            <w:tcW w:w="1152" w:type="dxa"/>
          </w:tcPr>
          <w:p w14:paraId="093AB117"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w:t>
            </w:r>
          </w:p>
        </w:tc>
        <w:tc>
          <w:tcPr>
            <w:tcW w:w="3456" w:type="dxa"/>
          </w:tcPr>
          <w:p w14:paraId="2BA86D83"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La Union</w:t>
            </w:r>
          </w:p>
        </w:tc>
        <w:tc>
          <w:tcPr>
            <w:tcW w:w="1728" w:type="dxa"/>
          </w:tcPr>
          <w:p w14:paraId="777E103B"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20</w:t>
            </w:r>
          </w:p>
        </w:tc>
      </w:tr>
      <w:tr w:rsidR="0057225B" w:rsidRPr="00214DA3" w14:paraId="1513B01A" w14:textId="77777777" w:rsidTr="00B6368A">
        <w:trPr>
          <w:jc w:val="center"/>
        </w:trPr>
        <w:tc>
          <w:tcPr>
            <w:tcW w:w="1152" w:type="dxa"/>
          </w:tcPr>
          <w:p w14:paraId="0192A385"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w:t>
            </w:r>
          </w:p>
        </w:tc>
        <w:tc>
          <w:tcPr>
            <w:tcW w:w="3456" w:type="dxa"/>
          </w:tcPr>
          <w:p w14:paraId="7197C622"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Pangasinan</w:t>
            </w:r>
          </w:p>
        </w:tc>
        <w:tc>
          <w:tcPr>
            <w:tcW w:w="1728" w:type="dxa"/>
          </w:tcPr>
          <w:p w14:paraId="6698F59F"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132</w:t>
            </w:r>
          </w:p>
        </w:tc>
      </w:tr>
      <w:tr w:rsidR="0057225B" w:rsidRPr="00214DA3" w14:paraId="5576A3CE" w14:textId="77777777" w:rsidTr="00B6368A">
        <w:trPr>
          <w:jc w:val="center"/>
        </w:trPr>
        <w:tc>
          <w:tcPr>
            <w:tcW w:w="1152" w:type="dxa"/>
          </w:tcPr>
          <w:p w14:paraId="2F579908"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III</w:t>
            </w:r>
          </w:p>
        </w:tc>
        <w:tc>
          <w:tcPr>
            <w:tcW w:w="3456" w:type="dxa"/>
          </w:tcPr>
          <w:p w14:paraId="4E969B9A"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Bulacan</w:t>
            </w:r>
          </w:p>
        </w:tc>
        <w:tc>
          <w:tcPr>
            <w:tcW w:w="1728" w:type="dxa"/>
          </w:tcPr>
          <w:p w14:paraId="02DC38AB"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13</w:t>
            </w:r>
          </w:p>
        </w:tc>
      </w:tr>
      <w:tr w:rsidR="0057225B" w:rsidRPr="00214DA3" w14:paraId="49FA73AA" w14:textId="77777777" w:rsidTr="00B6368A">
        <w:trPr>
          <w:jc w:val="center"/>
        </w:trPr>
        <w:tc>
          <w:tcPr>
            <w:tcW w:w="1152" w:type="dxa"/>
          </w:tcPr>
          <w:p w14:paraId="4376EBB5"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III</w:t>
            </w:r>
          </w:p>
        </w:tc>
        <w:tc>
          <w:tcPr>
            <w:tcW w:w="3456" w:type="dxa"/>
          </w:tcPr>
          <w:p w14:paraId="443D4F60"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Zambales</w:t>
            </w:r>
          </w:p>
        </w:tc>
        <w:tc>
          <w:tcPr>
            <w:tcW w:w="1728" w:type="dxa"/>
          </w:tcPr>
          <w:p w14:paraId="7F1B00CB"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8</w:t>
            </w:r>
          </w:p>
        </w:tc>
      </w:tr>
      <w:tr w:rsidR="0057225B" w:rsidRPr="00214DA3" w14:paraId="38647C93" w14:textId="77777777" w:rsidTr="00B6368A">
        <w:trPr>
          <w:jc w:val="center"/>
        </w:trPr>
        <w:tc>
          <w:tcPr>
            <w:tcW w:w="1152" w:type="dxa"/>
          </w:tcPr>
          <w:p w14:paraId="28342DC8"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IV-B</w:t>
            </w:r>
          </w:p>
        </w:tc>
        <w:tc>
          <w:tcPr>
            <w:tcW w:w="3456" w:type="dxa"/>
          </w:tcPr>
          <w:p w14:paraId="74CD1025"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Occidental Mindoro</w:t>
            </w:r>
          </w:p>
        </w:tc>
        <w:tc>
          <w:tcPr>
            <w:tcW w:w="1728" w:type="dxa"/>
          </w:tcPr>
          <w:p w14:paraId="79F14802"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35</w:t>
            </w:r>
          </w:p>
        </w:tc>
      </w:tr>
      <w:tr w:rsidR="0057225B" w:rsidRPr="00214DA3" w14:paraId="2185BDD9" w14:textId="77777777" w:rsidTr="00B6368A">
        <w:trPr>
          <w:jc w:val="center"/>
        </w:trPr>
        <w:tc>
          <w:tcPr>
            <w:tcW w:w="1152" w:type="dxa"/>
          </w:tcPr>
          <w:p w14:paraId="020BD305"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VI</w:t>
            </w:r>
          </w:p>
        </w:tc>
        <w:tc>
          <w:tcPr>
            <w:tcW w:w="3456" w:type="dxa"/>
          </w:tcPr>
          <w:p w14:paraId="1AAB2276"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Iloilo</w:t>
            </w:r>
          </w:p>
        </w:tc>
        <w:tc>
          <w:tcPr>
            <w:tcW w:w="1728" w:type="dxa"/>
          </w:tcPr>
          <w:p w14:paraId="3255D2D3"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41</w:t>
            </w:r>
          </w:p>
        </w:tc>
      </w:tr>
      <w:tr w:rsidR="0057225B" w:rsidRPr="00214DA3" w14:paraId="1394A0B1" w14:textId="77777777" w:rsidTr="00B6368A">
        <w:trPr>
          <w:jc w:val="center"/>
        </w:trPr>
        <w:tc>
          <w:tcPr>
            <w:tcW w:w="1152" w:type="dxa"/>
          </w:tcPr>
          <w:p w14:paraId="22D0F577"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VI</w:t>
            </w:r>
          </w:p>
        </w:tc>
        <w:tc>
          <w:tcPr>
            <w:tcW w:w="3456" w:type="dxa"/>
          </w:tcPr>
          <w:p w14:paraId="4565A295"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Guimaras</w:t>
            </w:r>
          </w:p>
        </w:tc>
        <w:tc>
          <w:tcPr>
            <w:tcW w:w="1728" w:type="dxa"/>
          </w:tcPr>
          <w:p w14:paraId="671B0B7D"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71</w:t>
            </w:r>
          </w:p>
        </w:tc>
      </w:tr>
      <w:tr w:rsidR="0057225B" w:rsidRPr="00214DA3" w14:paraId="5892BE33" w14:textId="77777777" w:rsidTr="00B6368A">
        <w:trPr>
          <w:jc w:val="center"/>
        </w:trPr>
        <w:tc>
          <w:tcPr>
            <w:tcW w:w="1152" w:type="dxa"/>
          </w:tcPr>
          <w:p w14:paraId="47E55774"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VI</w:t>
            </w:r>
          </w:p>
        </w:tc>
        <w:tc>
          <w:tcPr>
            <w:tcW w:w="3456" w:type="dxa"/>
          </w:tcPr>
          <w:p w14:paraId="4458DCF9"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Negros Occidental</w:t>
            </w:r>
          </w:p>
        </w:tc>
        <w:tc>
          <w:tcPr>
            <w:tcW w:w="1728" w:type="dxa"/>
          </w:tcPr>
          <w:p w14:paraId="20222283"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136</w:t>
            </w:r>
          </w:p>
        </w:tc>
      </w:tr>
      <w:tr w:rsidR="0057225B" w:rsidRPr="00214DA3" w14:paraId="320F031D" w14:textId="77777777" w:rsidTr="00B6368A">
        <w:trPr>
          <w:jc w:val="center"/>
        </w:trPr>
        <w:tc>
          <w:tcPr>
            <w:tcW w:w="1152" w:type="dxa"/>
          </w:tcPr>
          <w:p w14:paraId="109796BA"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X</w:t>
            </w:r>
          </w:p>
        </w:tc>
        <w:tc>
          <w:tcPr>
            <w:tcW w:w="3456" w:type="dxa"/>
          </w:tcPr>
          <w:p w14:paraId="227E1C23"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Misamis Oriental</w:t>
            </w:r>
          </w:p>
        </w:tc>
        <w:tc>
          <w:tcPr>
            <w:tcW w:w="1728" w:type="dxa"/>
          </w:tcPr>
          <w:p w14:paraId="5B0A37E4"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47</w:t>
            </w:r>
          </w:p>
        </w:tc>
      </w:tr>
      <w:tr w:rsidR="0057225B" w:rsidRPr="00214DA3" w14:paraId="0B378948" w14:textId="77777777" w:rsidTr="00B6368A">
        <w:trPr>
          <w:jc w:val="center"/>
        </w:trPr>
        <w:tc>
          <w:tcPr>
            <w:tcW w:w="1152" w:type="dxa"/>
          </w:tcPr>
          <w:p w14:paraId="04F74ED9" w14:textId="77777777" w:rsidR="0057225B" w:rsidRPr="00214DA3" w:rsidRDefault="0057225B" w:rsidP="009E0D55">
            <w:pPr>
              <w:rPr>
                <w:rFonts w:cs="Times New Roman"/>
                <w:color w:val="000000" w:themeColor="text1"/>
                <w:szCs w:val="20"/>
              </w:rPr>
            </w:pPr>
            <w:r w:rsidRPr="00214DA3">
              <w:rPr>
                <w:rFonts w:cs="Times New Roman"/>
                <w:color w:val="000000" w:themeColor="text1"/>
                <w:szCs w:val="20"/>
              </w:rPr>
              <w:t>TOTAL</w:t>
            </w:r>
          </w:p>
        </w:tc>
        <w:tc>
          <w:tcPr>
            <w:tcW w:w="3456" w:type="dxa"/>
          </w:tcPr>
          <w:p w14:paraId="1E98901C" w14:textId="77777777" w:rsidR="0057225B" w:rsidRPr="00214DA3" w:rsidRDefault="0057225B" w:rsidP="009E0D55">
            <w:pPr>
              <w:rPr>
                <w:rFonts w:cs="Times New Roman"/>
                <w:color w:val="000000" w:themeColor="text1"/>
                <w:szCs w:val="20"/>
              </w:rPr>
            </w:pPr>
          </w:p>
        </w:tc>
        <w:tc>
          <w:tcPr>
            <w:tcW w:w="1728" w:type="dxa"/>
          </w:tcPr>
          <w:p w14:paraId="5DDD3B44" w14:textId="77777777" w:rsidR="0057225B" w:rsidRPr="00214DA3" w:rsidRDefault="0057225B" w:rsidP="009E0D55">
            <w:pPr>
              <w:jc w:val="center"/>
              <w:rPr>
                <w:rFonts w:cs="Times New Roman"/>
                <w:color w:val="000000" w:themeColor="text1"/>
                <w:szCs w:val="20"/>
              </w:rPr>
            </w:pPr>
            <w:r w:rsidRPr="00214DA3">
              <w:rPr>
                <w:rFonts w:cs="Times New Roman"/>
                <w:color w:val="000000" w:themeColor="text1"/>
                <w:szCs w:val="20"/>
              </w:rPr>
              <w:t>590</w:t>
            </w:r>
          </w:p>
        </w:tc>
      </w:tr>
    </w:tbl>
    <w:p w14:paraId="4A14D10D" w14:textId="77777777" w:rsidR="0057225B" w:rsidRDefault="0057225B" w:rsidP="00193DD3">
      <w:pPr>
        <w:spacing w:after="0" w:line="480" w:lineRule="auto"/>
        <w:ind w:firstLine="567"/>
        <w:jc w:val="both"/>
        <w:rPr>
          <w:rFonts w:cs="Times New Roman"/>
          <w:color w:val="000000" w:themeColor="text1"/>
          <w:szCs w:val="20"/>
        </w:rPr>
      </w:pPr>
    </w:p>
    <w:p w14:paraId="43B89808" w14:textId="796F3D31" w:rsidR="00AA1700" w:rsidRPr="00C664C7" w:rsidRDefault="000A24F2"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Respondents were selected through stratified purposive sampling to maximize coverage of accessible active producers in each province. Large, medium, and small operations were represented where present. </w:t>
      </w:r>
      <w:r w:rsidR="001C3D74">
        <w:rPr>
          <w:rFonts w:cs="Times New Roman"/>
          <w:color w:val="000000" w:themeColor="text1"/>
          <w:szCs w:val="20"/>
        </w:rPr>
        <w:t>The c</w:t>
      </w:r>
      <w:r w:rsidRPr="00C664C7">
        <w:rPr>
          <w:rFonts w:cs="Times New Roman"/>
          <w:color w:val="000000" w:themeColor="text1"/>
          <w:szCs w:val="20"/>
        </w:rPr>
        <w:t xml:space="preserve">riteria </w:t>
      </w:r>
      <w:r w:rsidR="008B0003" w:rsidRPr="00C664C7">
        <w:rPr>
          <w:rFonts w:cs="Times New Roman"/>
          <w:color w:val="000000" w:themeColor="text1"/>
          <w:szCs w:val="20"/>
        </w:rPr>
        <w:t xml:space="preserve">for </w:t>
      </w:r>
      <w:r w:rsidR="001C3D74" w:rsidRPr="00C664C7">
        <w:rPr>
          <w:rFonts w:cs="Times New Roman"/>
          <w:color w:val="000000" w:themeColor="text1"/>
          <w:szCs w:val="20"/>
        </w:rPr>
        <w:t xml:space="preserve">respondents </w:t>
      </w:r>
      <w:r w:rsidR="008B0003" w:rsidRPr="00C664C7">
        <w:rPr>
          <w:rFonts w:cs="Times New Roman"/>
          <w:color w:val="000000" w:themeColor="text1"/>
          <w:szCs w:val="20"/>
        </w:rPr>
        <w:t>selecti</w:t>
      </w:r>
      <w:r w:rsidR="001C3D74">
        <w:rPr>
          <w:rFonts w:cs="Times New Roman"/>
          <w:color w:val="000000" w:themeColor="text1"/>
          <w:szCs w:val="20"/>
        </w:rPr>
        <w:t>on</w:t>
      </w:r>
      <w:r w:rsidR="008B0003" w:rsidRPr="00C664C7">
        <w:rPr>
          <w:rFonts w:cs="Times New Roman"/>
          <w:color w:val="000000" w:themeColor="text1"/>
          <w:szCs w:val="20"/>
        </w:rPr>
        <w:t xml:space="preserve"> include</w:t>
      </w:r>
      <w:r w:rsidR="001C3D74">
        <w:rPr>
          <w:rFonts w:cs="Times New Roman"/>
          <w:color w:val="000000" w:themeColor="text1"/>
          <w:szCs w:val="20"/>
        </w:rPr>
        <w:t>d</w:t>
      </w:r>
      <w:r w:rsidR="008B0003" w:rsidRPr="00C664C7">
        <w:rPr>
          <w:rFonts w:cs="Times New Roman"/>
          <w:color w:val="000000" w:themeColor="text1"/>
          <w:szCs w:val="20"/>
        </w:rPr>
        <w:t>: (</w:t>
      </w:r>
      <w:r w:rsidRPr="00C664C7">
        <w:rPr>
          <w:rFonts w:cs="Times New Roman"/>
          <w:color w:val="000000" w:themeColor="text1"/>
          <w:szCs w:val="20"/>
        </w:rPr>
        <w:t xml:space="preserve">1) at least 18 years old; (2) currently involved in salt production, post-harvest handling, or farm operations as an owner, co-owner, renter, caretaker, or worker; (3) knowledgeable about the production process and farm practices; (4) located in one of the selected provinces; and (5) willing to participate. Persons who were not directly involved in salt production, </w:t>
      </w:r>
      <w:r w:rsidR="001C3D74">
        <w:rPr>
          <w:rFonts w:cs="Times New Roman"/>
          <w:color w:val="000000" w:themeColor="text1"/>
          <w:szCs w:val="20"/>
        </w:rPr>
        <w:t xml:space="preserve">were </w:t>
      </w:r>
      <w:r w:rsidRPr="00C664C7">
        <w:rPr>
          <w:rFonts w:cs="Times New Roman"/>
          <w:color w:val="000000" w:themeColor="text1"/>
          <w:szCs w:val="20"/>
        </w:rPr>
        <w:t>unavailable during the survey visits, or did not provide consent were excluded</w:t>
      </w:r>
      <w:r w:rsidR="00D05234" w:rsidRPr="00C664C7">
        <w:rPr>
          <w:rFonts w:cs="Times New Roman"/>
          <w:color w:val="000000" w:themeColor="text1"/>
          <w:szCs w:val="20"/>
        </w:rPr>
        <w:t xml:space="preserve"> from the survey</w:t>
      </w:r>
      <w:r w:rsidRPr="00C664C7">
        <w:rPr>
          <w:rFonts w:cs="Times New Roman"/>
          <w:color w:val="000000" w:themeColor="text1"/>
          <w:szCs w:val="20"/>
        </w:rPr>
        <w:t xml:space="preserve">. </w:t>
      </w:r>
      <w:r w:rsidR="00D05234" w:rsidRPr="00C664C7">
        <w:rPr>
          <w:rFonts w:cs="Times New Roman"/>
          <w:color w:val="000000" w:themeColor="text1"/>
          <w:szCs w:val="20"/>
        </w:rPr>
        <w:t>The field s</w:t>
      </w:r>
      <w:r w:rsidRPr="00C664C7">
        <w:rPr>
          <w:rFonts w:cs="Times New Roman"/>
          <w:color w:val="000000" w:themeColor="text1"/>
          <w:szCs w:val="20"/>
        </w:rPr>
        <w:t xml:space="preserve">urvey was scheduled within the approved research period and covered early and peak production stages so that production practices could be observed under different seasonal operating conditions. </w:t>
      </w:r>
      <w:r w:rsidR="00D05234" w:rsidRPr="00C664C7">
        <w:rPr>
          <w:rFonts w:cs="Times New Roman"/>
          <w:color w:val="000000" w:themeColor="text1"/>
          <w:szCs w:val="20"/>
        </w:rPr>
        <w:t>The e</w:t>
      </w:r>
      <w:r w:rsidRPr="00C664C7">
        <w:rPr>
          <w:rFonts w:cs="Times New Roman"/>
          <w:color w:val="000000" w:themeColor="text1"/>
          <w:szCs w:val="20"/>
        </w:rPr>
        <w:t>xact field visit dates</w:t>
      </w:r>
      <w:r w:rsidR="00D05234" w:rsidRPr="00C664C7">
        <w:rPr>
          <w:rFonts w:cs="Times New Roman"/>
          <w:color w:val="000000" w:themeColor="text1"/>
          <w:szCs w:val="20"/>
        </w:rPr>
        <w:t>, however, varied</w:t>
      </w:r>
      <w:r w:rsidRPr="00C664C7">
        <w:rPr>
          <w:rFonts w:cs="Times New Roman"/>
          <w:color w:val="000000" w:themeColor="text1"/>
          <w:szCs w:val="20"/>
        </w:rPr>
        <w:t xml:space="preserve"> by province depending on </w:t>
      </w:r>
      <w:r w:rsidR="001C3D74">
        <w:rPr>
          <w:rFonts w:cs="Times New Roman"/>
          <w:color w:val="000000" w:themeColor="text1"/>
          <w:szCs w:val="20"/>
        </w:rPr>
        <w:t xml:space="preserve">the </w:t>
      </w:r>
      <w:r w:rsidRPr="00C664C7">
        <w:rPr>
          <w:rFonts w:cs="Times New Roman"/>
          <w:color w:val="000000" w:themeColor="text1"/>
          <w:szCs w:val="20"/>
        </w:rPr>
        <w:t>production calendar, LGU coordination, farm accessibility, and weather conditions.</w:t>
      </w:r>
    </w:p>
    <w:p w14:paraId="1BAD395C" w14:textId="59FE89E1" w:rsidR="00AA1700" w:rsidRPr="00C664C7" w:rsidRDefault="00000000" w:rsidP="00193DD3">
      <w:pPr>
        <w:rPr>
          <w:b/>
          <w:bCs/>
          <w:color w:val="000000" w:themeColor="text1"/>
        </w:rPr>
      </w:pPr>
      <w:r w:rsidRPr="00C664C7">
        <w:rPr>
          <w:b/>
          <w:bCs/>
          <w:color w:val="000000" w:themeColor="text1"/>
        </w:rPr>
        <w:t xml:space="preserve">Field </w:t>
      </w:r>
      <w:r w:rsidR="001C3D74" w:rsidRPr="00C664C7">
        <w:rPr>
          <w:b/>
          <w:bCs/>
          <w:color w:val="000000" w:themeColor="text1"/>
        </w:rPr>
        <w:t xml:space="preserve">Visits, </w:t>
      </w:r>
      <w:r w:rsidR="00193DD3" w:rsidRPr="00C664C7">
        <w:rPr>
          <w:b/>
          <w:bCs/>
          <w:color w:val="000000" w:themeColor="text1"/>
        </w:rPr>
        <w:t>S</w:t>
      </w:r>
      <w:r w:rsidRPr="00C664C7">
        <w:rPr>
          <w:b/>
          <w:bCs/>
          <w:color w:val="000000" w:themeColor="text1"/>
        </w:rPr>
        <w:t xml:space="preserve">urvey </w:t>
      </w:r>
      <w:r w:rsidR="001C3D74" w:rsidRPr="00C664C7">
        <w:rPr>
          <w:b/>
          <w:bCs/>
          <w:color w:val="000000" w:themeColor="text1"/>
        </w:rPr>
        <w:t>Instrument</w:t>
      </w:r>
      <w:r w:rsidRPr="00C664C7">
        <w:rPr>
          <w:b/>
          <w:bCs/>
          <w:color w:val="000000" w:themeColor="text1"/>
        </w:rPr>
        <w:t xml:space="preserve">, and </w:t>
      </w:r>
      <w:r w:rsidR="00193DD3" w:rsidRPr="00C664C7">
        <w:rPr>
          <w:b/>
          <w:bCs/>
          <w:color w:val="000000" w:themeColor="text1"/>
        </w:rPr>
        <w:t>E</w:t>
      </w:r>
      <w:r w:rsidRPr="00C664C7">
        <w:rPr>
          <w:b/>
          <w:bCs/>
          <w:color w:val="000000" w:themeColor="text1"/>
        </w:rPr>
        <w:t xml:space="preserve">thical </w:t>
      </w:r>
      <w:r w:rsidR="00193DD3" w:rsidRPr="00C664C7">
        <w:rPr>
          <w:b/>
          <w:bCs/>
          <w:color w:val="000000" w:themeColor="text1"/>
        </w:rPr>
        <w:t>S</w:t>
      </w:r>
      <w:r w:rsidRPr="00C664C7">
        <w:rPr>
          <w:b/>
          <w:bCs/>
          <w:color w:val="000000" w:themeColor="text1"/>
        </w:rPr>
        <w:t>afeguards</w:t>
      </w:r>
    </w:p>
    <w:p w14:paraId="5F7E38B7" w14:textId="31C4CE2F"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Field visits were undertaken in coordination with LGUs. Prior to interviews, the purpose of the study was explained to respondents, and voluntary informed consent was obtained. </w:t>
      </w:r>
      <w:r w:rsidR="001C3D74">
        <w:rPr>
          <w:rFonts w:cs="Times New Roman"/>
          <w:color w:val="000000" w:themeColor="text1"/>
          <w:szCs w:val="20"/>
        </w:rPr>
        <w:t>To ensure compliance with</w:t>
      </w:r>
      <w:r w:rsidR="00F35170" w:rsidRPr="00C664C7">
        <w:rPr>
          <w:rFonts w:cs="Times New Roman"/>
          <w:color w:val="000000" w:themeColor="text1"/>
          <w:szCs w:val="20"/>
        </w:rPr>
        <w:t xml:space="preserve"> ethical standard</w:t>
      </w:r>
      <w:r w:rsidR="001C3D74">
        <w:rPr>
          <w:rFonts w:cs="Times New Roman"/>
          <w:color w:val="000000" w:themeColor="text1"/>
          <w:szCs w:val="20"/>
        </w:rPr>
        <w:t>s</w:t>
      </w:r>
      <w:r w:rsidR="00F35170" w:rsidRPr="00C664C7">
        <w:rPr>
          <w:rFonts w:cs="Times New Roman"/>
          <w:color w:val="000000" w:themeColor="text1"/>
          <w:szCs w:val="20"/>
        </w:rPr>
        <w:t>, the r</w:t>
      </w:r>
      <w:r w:rsidRPr="00C664C7">
        <w:rPr>
          <w:rFonts w:cs="Times New Roman"/>
          <w:color w:val="000000" w:themeColor="text1"/>
          <w:szCs w:val="20"/>
        </w:rPr>
        <w:t>espondents were assured that their participation was voluntary</w:t>
      </w:r>
      <w:r w:rsidR="00F35170" w:rsidRPr="00C664C7">
        <w:rPr>
          <w:rFonts w:cs="Times New Roman"/>
          <w:color w:val="000000" w:themeColor="text1"/>
          <w:szCs w:val="20"/>
        </w:rPr>
        <w:t xml:space="preserve"> and </w:t>
      </w:r>
      <w:r w:rsidR="001C3D74">
        <w:rPr>
          <w:rFonts w:cs="Times New Roman"/>
          <w:color w:val="000000" w:themeColor="text1"/>
          <w:szCs w:val="20"/>
        </w:rPr>
        <w:t xml:space="preserve">that </w:t>
      </w:r>
      <w:r w:rsidRPr="00C664C7">
        <w:rPr>
          <w:rFonts w:cs="Times New Roman"/>
          <w:color w:val="000000" w:themeColor="text1"/>
          <w:szCs w:val="20"/>
        </w:rPr>
        <w:t>they could refuse to answer any question</w:t>
      </w:r>
      <w:r w:rsidR="00F35170" w:rsidRPr="00C664C7">
        <w:rPr>
          <w:rFonts w:cs="Times New Roman"/>
          <w:color w:val="000000" w:themeColor="text1"/>
          <w:szCs w:val="20"/>
        </w:rPr>
        <w:t xml:space="preserve">. The </w:t>
      </w:r>
      <w:r w:rsidRPr="00C664C7">
        <w:rPr>
          <w:rFonts w:cs="Times New Roman"/>
          <w:color w:val="000000" w:themeColor="text1"/>
          <w:szCs w:val="20"/>
        </w:rPr>
        <w:t xml:space="preserve">information </w:t>
      </w:r>
      <w:r w:rsidR="00F35170" w:rsidRPr="00C664C7">
        <w:rPr>
          <w:rFonts w:cs="Times New Roman"/>
          <w:color w:val="000000" w:themeColor="text1"/>
          <w:szCs w:val="20"/>
        </w:rPr>
        <w:t xml:space="preserve">gathered from the study </w:t>
      </w:r>
      <w:r w:rsidRPr="00C664C7">
        <w:rPr>
          <w:rFonts w:cs="Times New Roman"/>
          <w:color w:val="000000" w:themeColor="text1"/>
          <w:szCs w:val="20"/>
        </w:rPr>
        <w:t>would be reported in aggregated form to protect confidentiality.</w:t>
      </w:r>
    </w:p>
    <w:p w14:paraId="0852AA76" w14:textId="12D305A7" w:rsidR="00AA1700"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The survey instrument covered </w:t>
      </w:r>
      <w:r w:rsidR="001C3D74">
        <w:rPr>
          <w:rFonts w:cs="Times New Roman"/>
          <w:color w:val="000000" w:themeColor="text1"/>
          <w:szCs w:val="20"/>
        </w:rPr>
        <w:t xml:space="preserve">the </w:t>
      </w:r>
      <w:r w:rsidRPr="00C664C7">
        <w:rPr>
          <w:rFonts w:cs="Times New Roman"/>
          <w:color w:val="000000" w:themeColor="text1"/>
          <w:szCs w:val="20"/>
        </w:rPr>
        <w:t>respondent</w:t>
      </w:r>
      <w:r w:rsidR="001C3D74">
        <w:rPr>
          <w:rFonts w:cs="Times New Roman"/>
          <w:color w:val="000000" w:themeColor="text1"/>
          <w:szCs w:val="20"/>
        </w:rPr>
        <w:t>s’</w:t>
      </w:r>
      <w:r w:rsidRPr="00C664C7">
        <w:rPr>
          <w:rFonts w:cs="Times New Roman"/>
          <w:color w:val="000000" w:themeColor="text1"/>
          <w:szCs w:val="20"/>
        </w:rPr>
        <w:t xml:space="preserve"> profile, role</w:t>
      </w:r>
      <w:r w:rsidR="001C3D74">
        <w:rPr>
          <w:rFonts w:cs="Times New Roman"/>
          <w:color w:val="000000" w:themeColor="text1"/>
          <w:szCs w:val="20"/>
        </w:rPr>
        <w:t>s</w:t>
      </w:r>
      <w:r w:rsidRPr="00C664C7">
        <w:rPr>
          <w:rFonts w:cs="Times New Roman"/>
          <w:color w:val="000000" w:themeColor="text1"/>
          <w:szCs w:val="20"/>
        </w:rPr>
        <w:t xml:space="preserve"> or land access arrangement</w:t>
      </w:r>
      <w:r w:rsidR="001C3D74">
        <w:rPr>
          <w:rFonts w:cs="Times New Roman"/>
          <w:color w:val="000000" w:themeColor="text1"/>
          <w:szCs w:val="20"/>
        </w:rPr>
        <w:t>s</w:t>
      </w:r>
      <w:r w:rsidRPr="00C664C7">
        <w:rPr>
          <w:rFonts w:cs="Times New Roman"/>
          <w:color w:val="000000" w:themeColor="text1"/>
          <w:szCs w:val="20"/>
        </w:rPr>
        <w:t>, salt-making experience, production system</w:t>
      </w:r>
      <w:r w:rsidR="001C3D74">
        <w:rPr>
          <w:rFonts w:cs="Times New Roman"/>
          <w:color w:val="000000" w:themeColor="text1"/>
          <w:szCs w:val="20"/>
        </w:rPr>
        <w:t>s</w:t>
      </w:r>
      <w:r w:rsidRPr="00C664C7">
        <w:rPr>
          <w:rFonts w:cs="Times New Roman"/>
          <w:color w:val="000000" w:themeColor="text1"/>
          <w:szCs w:val="20"/>
        </w:rPr>
        <w:t xml:space="preserve">, packaging, storage, marketing-related practices, and problems encountered in production, processing, distribution, and marketing. The instrument was pretested with salt </w:t>
      </w:r>
      <w:r w:rsidR="00287D65" w:rsidRPr="00C664C7">
        <w:rPr>
          <w:rFonts w:cs="Times New Roman"/>
          <w:color w:val="000000" w:themeColor="text1"/>
          <w:szCs w:val="20"/>
        </w:rPr>
        <w:t>farm</w:t>
      </w:r>
      <w:r w:rsidRPr="00C664C7">
        <w:rPr>
          <w:rFonts w:cs="Times New Roman"/>
          <w:color w:val="000000" w:themeColor="text1"/>
          <w:szCs w:val="20"/>
        </w:rPr>
        <w:t>ers and operators in Dasol, Pangasinan</w:t>
      </w:r>
      <w:r w:rsidR="00287D65" w:rsidRPr="00C664C7">
        <w:rPr>
          <w:rFonts w:cs="Times New Roman"/>
          <w:color w:val="000000" w:themeColor="text1"/>
          <w:szCs w:val="20"/>
        </w:rPr>
        <w:t>,</w:t>
      </w:r>
      <w:r w:rsidRPr="00C664C7">
        <w:rPr>
          <w:rFonts w:cs="Times New Roman"/>
          <w:color w:val="000000" w:themeColor="text1"/>
          <w:szCs w:val="20"/>
        </w:rPr>
        <w:t xml:space="preserve"> and Pasuquin, Ilocos Norte</w:t>
      </w:r>
      <w:r w:rsidR="006301D0" w:rsidRPr="00C664C7">
        <w:rPr>
          <w:rFonts w:cs="Times New Roman"/>
          <w:color w:val="000000" w:themeColor="text1"/>
          <w:szCs w:val="20"/>
        </w:rPr>
        <w:t xml:space="preserve">. This was done to ensure </w:t>
      </w:r>
      <w:r w:rsidR="001C3D74">
        <w:rPr>
          <w:rFonts w:cs="Times New Roman"/>
          <w:color w:val="000000" w:themeColor="text1"/>
          <w:szCs w:val="20"/>
        </w:rPr>
        <w:t xml:space="preserve">the </w:t>
      </w:r>
      <w:r w:rsidRPr="00C664C7">
        <w:rPr>
          <w:rFonts w:cs="Times New Roman"/>
          <w:color w:val="000000" w:themeColor="text1"/>
          <w:szCs w:val="20"/>
        </w:rPr>
        <w:t xml:space="preserve">clarity, </w:t>
      </w:r>
      <w:r w:rsidR="001C3D74">
        <w:rPr>
          <w:rFonts w:cs="Times New Roman"/>
          <w:color w:val="000000" w:themeColor="text1"/>
          <w:szCs w:val="20"/>
        </w:rPr>
        <w:t xml:space="preserve">appropriate </w:t>
      </w:r>
      <w:r w:rsidRPr="00C664C7">
        <w:rPr>
          <w:rFonts w:cs="Times New Roman"/>
          <w:color w:val="000000" w:themeColor="text1"/>
          <w:szCs w:val="20"/>
        </w:rPr>
        <w:t>sequencing, and completeness</w:t>
      </w:r>
      <w:r w:rsidR="006301D0" w:rsidRPr="00C664C7">
        <w:rPr>
          <w:rFonts w:cs="Times New Roman"/>
          <w:color w:val="000000" w:themeColor="text1"/>
          <w:szCs w:val="20"/>
        </w:rPr>
        <w:t xml:space="preserve"> of the instrument </w:t>
      </w:r>
      <w:r w:rsidR="001C3D74">
        <w:rPr>
          <w:rFonts w:cs="Times New Roman"/>
          <w:color w:val="000000" w:themeColor="text1"/>
          <w:szCs w:val="20"/>
        </w:rPr>
        <w:t>in</w:t>
      </w:r>
      <w:r w:rsidR="006301D0" w:rsidRPr="00C664C7">
        <w:rPr>
          <w:rFonts w:cs="Times New Roman"/>
          <w:color w:val="000000" w:themeColor="text1"/>
          <w:szCs w:val="20"/>
        </w:rPr>
        <w:t xml:space="preserve"> captur</w:t>
      </w:r>
      <w:r w:rsidR="001C3D74">
        <w:rPr>
          <w:rFonts w:cs="Times New Roman"/>
          <w:color w:val="000000" w:themeColor="text1"/>
          <w:szCs w:val="20"/>
        </w:rPr>
        <w:t>ing the</w:t>
      </w:r>
      <w:r w:rsidR="006301D0" w:rsidRPr="00C664C7">
        <w:rPr>
          <w:rFonts w:cs="Times New Roman"/>
          <w:color w:val="000000" w:themeColor="text1"/>
          <w:szCs w:val="20"/>
        </w:rPr>
        <w:t xml:space="preserve"> </w:t>
      </w:r>
      <w:r w:rsidR="001C3D74">
        <w:rPr>
          <w:rFonts w:cs="Times New Roman"/>
          <w:color w:val="000000" w:themeColor="text1"/>
          <w:szCs w:val="20"/>
        </w:rPr>
        <w:t xml:space="preserve">required </w:t>
      </w:r>
      <w:r w:rsidR="006301D0" w:rsidRPr="00C664C7">
        <w:rPr>
          <w:rFonts w:cs="Times New Roman"/>
          <w:color w:val="000000" w:themeColor="text1"/>
          <w:szCs w:val="20"/>
        </w:rPr>
        <w:t>information and data</w:t>
      </w:r>
      <w:r w:rsidRPr="00C664C7">
        <w:rPr>
          <w:rFonts w:cs="Times New Roman"/>
          <w:color w:val="000000" w:themeColor="text1"/>
          <w:szCs w:val="20"/>
        </w:rPr>
        <w:t xml:space="preserve">. </w:t>
      </w:r>
      <w:r w:rsidR="006301D0" w:rsidRPr="00C664C7">
        <w:rPr>
          <w:rFonts w:cs="Times New Roman"/>
          <w:color w:val="000000" w:themeColor="text1"/>
          <w:szCs w:val="20"/>
        </w:rPr>
        <w:t>In addition, f</w:t>
      </w:r>
      <w:r w:rsidRPr="00C664C7">
        <w:rPr>
          <w:rFonts w:cs="Times New Roman"/>
          <w:color w:val="000000" w:themeColor="text1"/>
          <w:szCs w:val="20"/>
        </w:rPr>
        <w:t xml:space="preserve">ield observations were </w:t>
      </w:r>
      <w:r w:rsidR="001C3D74">
        <w:rPr>
          <w:rFonts w:cs="Times New Roman"/>
          <w:color w:val="000000" w:themeColor="text1"/>
          <w:szCs w:val="20"/>
        </w:rPr>
        <w:t>recorded</w:t>
      </w:r>
      <w:r w:rsidR="001C3D74" w:rsidRPr="00C664C7">
        <w:rPr>
          <w:rFonts w:cs="Times New Roman"/>
          <w:color w:val="000000" w:themeColor="text1"/>
          <w:szCs w:val="20"/>
        </w:rPr>
        <w:t xml:space="preserve"> </w:t>
      </w:r>
      <w:r w:rsidR="006301D0" w:rsidRPr="00C664C7">
        <w:rPr>
          <w:rFonts w:cs="Times New Roman"/>
          <w:color w:val="000000" w:themeColor="text1"/>
          <w:szCs w:val="20"/>
        </w:rPr>
        <w:t xml:space="preserve">during the field survey </w:t>
      </w:r>
      <w:r w:rsidRPr="00C664C7">
        <w:rPr>
          <w:rFonts w:cs="Times New Roman"/>
          <w:color w:val="000000" w:themeColor="text1"/>
          <w:szCs w:val="20"/>
        </w:rPr>
        <w:t>to validate and supplement survey responses on production and post-harvest practices.</w:t>
      </w:r>
    </w:p>
    <w:p w14:paraId="66622C82" w14:textId="2A2280C1" w:rsidR="00AA1700" w:rsidRPr="00C664C7" w:rsidRDefault="006301D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The study protocol was reviewed by the University Research Ethics Review Board of Mariano Marcos State University. Ethical clearance was granted for the approved study period.</w:t>
      </w:r>
    </w:p>
    <w:p w14:paraId="5F52678B" w14:textId="54789438" w:rsidR="00AA1700" w:rsidRPr="00C664C7" w:rsidRDefault="00000000" w:rsidP="00193DD3">
      <w:pPr>
        <w:rPr>
          <w:b/>
          <w:bCs/>
          <w:color w:val="000000" w:themeColor="text1"/>
        </w:rPr>
      </w:pPr>
      <w:r w:rsidRPr="00C664C7">
        <w:rPr>
          <w:b/>
          <w:bCs/>
          <w:color w:val="000000" w:themeColor="text1"/>
        </w:rPr>
        <w:t xml:space="preserve">Data </w:t>
      </w:r>
      <w:r w:rsidR="00193DD3" w:rsidRPr="00C664C7">
        <w:rPr>
          <w:b/>
          <w:bCs/>
          <w:color w:val="000000" w:themeColor="text1"/>
        </w:rPr>
        <w:t>P</w:t>
      </w:r>
      <w:r w:rsidRPr="00C664C7">
        <w:rPr>
          <w:b/>
          <w:bCs/>
          <w:color w:val="000000" w:themeColor="text1"/>
        </w:rPr>
        <w:t xml:space="preserve">rocessing, </w:t>
      </w:r>
      <w:r w:rsidR="00193DD3" w:rsidRPr="00C664C7">
        <w:rPr>
          <w:b/>
          <w:bCs/>
          <w:color w:val="000000" w:themeColor="text1"/>
        </w:rPr>
        <w:t>S</w:t>
      </w:r>
      <w:r w:rsidRPr="00C664C7">
        <w:rPr>
          <w:b/>
          <w:bCs/>
          <w:color w:val="000000" w:themeColor="text1"/>
        </w:rPr>
        <w:t xml:space="preserve">tatistical </w:t>
      </w:r>
      <w:r w:rsidR="00193DD3" w:rsidRPr="00C664C7">
        <w:rPr>
          <w:b/>
          <w:bCs/>
          <w:color w:val="000000" w:themeColor="text1"/>
        </w:rPr>
        <w:t>A</w:t>
      </w:r>
      <w:r w:rsidRPr="00C664C7">
        <w:rPr>
          <w:b/>
          <w:bCs/>
          <w:color w:val="000000" w:themeColor="text1"/>
        </w:rPr>
        <w:t xml:space="preserve">nalysis, and </w:t>
      </w:r>
      <w:r w:rsidR="00193DD3" w:rsidRPr="00C664C7">
        <w:rPr>
          <w:b/>
          <w:bCs/>
          <w:color w:val="000000" w:themeColor="text1"/>
        </w:rPr>
        <w:t>L</w:t>
      </w:r>
      <w:r w:rsidRPr="00C664C7">
        <w:rPr>
          <w:b/>
          <w:bCs/>
          <w:color w:val="000000" w:themeColor="text1"/>
        </w:rPr>
        <w:t>imitations</w:t>
      </w:r>
    </w:p>
    <w:p w14:paraId="775B240C" w14:textId="66D90C41" w:rsidR="00AA1700" w:rsidRPr="00C664C7" w:rsidRDefault="00BC7F8D"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The data gathered from the survey were encoded, cleaned, and tabulated in MS Excel.  The data were analyzed using descriptive statistics, while frequencies and percentages were computed for categorical variables. Cross-tabulations by province or region were used for production systems and selected practice variables. </w:t>
      </w:r>
      <w:r w:rsidR="00774BD4" w:rsidRPr="00C664C7">
        <w:rPr>
          <w:rFonts w:cs="Times New Roman"/>
          <w:color w:val="000000" w:themeColor="text1"/>
          <w:szCs w:val="20"/>
        </w:rPr>
        <w:t>Because</w:t>
      </w:r>
      <w:r w:rsidRPr="00C664C7">
        <w:rPr>
          <w:rFonts w:cs="Times New Roman"/>
          <w:color w:val="000000" w:themeColor="text1"/>
          <w:szCs w:val="20"/>
        </w:rPr>
        <w:t xml:space="preserve"> the study was a baseline characterization and field implementation depended on </w:t>
      </w:r>
      <w:r w:rsidR="006301D0" w:rsidRPr="00C664C7">
        <w:rPr>
          <w:rFonts w:cs="Times New Roman"/>
          <w:color w:val="000000" w:themeColor="text1"/>
          <w:szCs w:val="20"/>
        </w:rPr>
        <w:t xml:space="preserve">the </w:t>
      </w:r>
      <w:r w:rsidRPr="00C664C7">
        <w:rPr>
          <w:rFonts w:cs="Times New Roman"/>
          <w:color w:val="000000" w:themeColor="text1"/>
          <w:szCs w:val="20"/>
        </w:rPr>
        <w:t xml:space="preserve">accessibility </w:t>
      </w:r>
      <w:r w:rsidR="001C3D74">
        <w:rPr>
          <w:rFonts w:cs="Times New Roman"/>
          <w:color w:val="000000" w:themeColor="text1"/>
          <w:szCs w:val="20"/>
        </w:rPr>
        <w:t xml:space="preserve">of </w:t>
      </w:r>
      <w:r w:rsidRPr="00C664C7">
        <w:rPr>
          <w:rFonts w:cs="Times New Roman"/>
          <w:color w:val="000000" w:themeColor="text1"/>
          <w:szCs w:val="20"/>
        </w:rPr>
        <w:t xml:space="preserve">and willingness </w:t>
      </w:r>
      <w:r w:rsidR="001C3D74">
        <w:rPr>
          <w:rFonts w:cs="Times New Roman"/>
          <w:color w:val="000000" w:themeColor="text1"/>
          <w:szCs w:val="20"/>
        </w:rPr>
        <w:t xml:space="preserve">to participate </w:t>
      </w:r>
      <w:r w:rsidR="00774BD4" w:rsidRPr="00C664C7">
        <w:rPr>
          <w:rFonts w:cs="Times New Roman"/>
          <w:color w:val="000000" w:themeColor="text1"/>
          <w:szCs w:val="20"/>
        </w:rPr>
        <w:t>among</w:t>
      </w:r>
      <w:r w:rsidRPr="00C664C7">
        <w:rPr>
          <w:rFonts w:cs="Times New Roman"/>
          <w:color w:val="000000" w:themeColor="text1"/>
          <w:szCs w:val="20"/>
        </w:rPr>
        <w:t xml:space="preserve"> salt producers, inferential tests were not applied. </w:t>
      </w:r>
      <w:r w:rsidR="006301D0" w:rsidRPr="00C664C7">
        <w:rPr>
          <w:rFonts w:cs="Times New Roman"/>
          <w:color w:val="000000" w:themeColor="text1"/>
          <w:szCs w:val="20"/>
        </w:rPr>
        <w:t xml:space="preserve">Overall, the </w:t>
      </w:r>
      <w:r w:rsidRPr="00C664C7">
        <w:rPr>
          <w:rFonts w:cs="Times New Roman"/>
          <w:color w:val="000000" w:themeColor="text1"/>
          <w:szCs w:val="20"/>
        </w:rPr>
        <w:t>analysis emphasize</w:t>
      </w:r>
      <w:r w:rsidR="001C3D74">
        <w:rPr>
          <w:rFonts w:cs="Times New Roman"/>
          <w:color w:val="000000" w:themeColor="text1"/>
          <w:szCs w:val="20"/>
        </w:rPr>
        <w:t xml:space="preserve">d </w:t>
      </w:r>
      <w:r w:rsidRPr="00C664C7">
        <w:rPr>
          <w:rFonts w:cs="Times New Roman"/>
          <w:color w:val="000000" w:themeColor="text1"/>
          <w:szCs w:val="20"/>
        </w:rPr>
        <w:t>descriptive patterns rather than population-level causal inference.</w:t>
      </w:r>
    </w:p>
    <w:p w14:paraId="27A56156" w14:textId="77777777" w:rsidR="00EB0B98" w:rsidRPr="00C664C7" w:rsidRDefault="00EB0B98"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Meanwhile, pooled analysis was used to describe overall patterns across selected producing provinces. Province- and region-level summaries were presented where the data supported meaningful comparison, particularly for production systems. However, the pooled results of this study should</w:t>
      </w:r>
      <w:r w:rsidR="004E2F3F" w:rsidRPr="00C664C7">
        <w:rPr>
          <w:rFonts w:cs="Times New Roman"/>
          <w:color w:val="000000" w:themeColor="text1"/>
          <w:szCs w:val="20"/>
        </w:rPr>
        <w:t xml:space="preserve"> </w:t>
      </w:r>
      <w:r w:rsidRPr="00C664C7">
        <w:rPr>
          <w:rFonts w:cs="Times New Roman"/>
          <w:color w:val="000000" w:themeColor="text1"/>
          <w:szCs w:val="20"/>
        </w:rPr>
        <w:t xml:space="preserve">not be interpreted as a statistically representative estimate of all Philippine salt producers because the sampling frame and field access varied by site. Nonetheless, to reduce </w:t>
      </w:r>
      <w:r w:rsidR="004E2F3F" w:rsidRPr="00C664C7">
        <w:rPr>
          <w:rFonts w:cs="Times New Roman"/>
          <w:color w:val="000000" w:themeColor="text1"/>
          <w:szCs w:val="20"/>
        </w:rPr>
        <w:t>potential bias, the study used updated local lists, field observations, pretested instruments, and respondent inclusion criteria that required</w:t>
      </w:r>
      <w:r w:rsidRPr="00C664C7">
        <w:rPr>
          <w:rFonts w:cs="Times New Roman"/>
          <w:color w:val="000000" w:themeColor="text1"/>
          <w:szCs w:val="20"/>
        </w:rPr>
        <w:t xml:space="preserve"> direct knowledge of salt production. Some variables, including storage duration, were recorded using categori</w:t>
      </w:r>
      <w:r w:rsidR="000A0ADA" w:rsidRPr="00C664C7">
        <w:rPr>
          <w:rFonts w:cs="Times New Roman"/>
          <w:color w:val="000000" w:themeColor="text1"/>
          <w:szCs w:val="20"/>
        </w:rPr>
        <w:t>cal response options</w:t>
      </w:r>
      <w:r w:rsidRPr="00C664C7">
        <w:rPr>
          <w:rFonts w:cs="Times New Roman"/>
          <w:color w:val="000000" w:themeColor="text1"/>
          <w:szCs w:val="20"/>
        </w:rPr>
        <w:t>. T</w:t>
      </w:r>
      <w:r w:rsidR="00FB6989" w:rsidRPr="00C664C7">
        <w:rPr>
          <w:rFonts w:cs="Times New Roman"/>
          <w:color w:val="000000" w:themeColor="text1"/>
          <w:szCs w:val="20"/>
        </w:rPr>
        <w:t>herefore</w:t>
      </w:r>
      <w:r w:rsidR="000A0ADA" w:rsidRPr="00C664C7">
        <w:rPr>
          <w:rFonts w:cs="Times New Roman"/>
          <w:color w:val="000000" w:themeColor="text1"/>
          <w:szCs w:val="20"/>
        </w:rPr>
        <w:t>, they are interpreted as survey</w:t>
      </w:r>
      <w:r w:rsidR="00FB6989" w:rsidRPr="00C664C7">
        <w:rPr>
          <w:rFonts w:cs="Times New Roman"/>
          <w:color w:val="000000" w:themeColor="text1"/>
          <w:szCs w:val="20"/>
        </w:rPr>
        <w:t>-recorded</w:t>
      </w:r>
      <w:r w:rsidR="000A0ADA" w:rsidRPr="00C664C7">
        <w:rPr>
          <w:rFonts w:cs="Times New Roman"/>
          <w:color w:val="000000" w:themeColor="text1"/>
          <w:szCs w:val="20"/>
        </w:rPr>
        <w:t xml:space="preserve"> categories rather than precise continuous measurements</w:t>
      </w:r>
      <w:r w:rsidRPr="00C664C7">
        <w:rPr>
          <w:rFonts w:cs="Times New Roman"/>
          <w:color w:val="000000" w:themeColor="text1"/>
          <w:szCs w:val="20"/>
        </w:rPr>
        <w:t>.</w:t>
      </w:r>
    </w:p>
    <w:p w14:paraId="5A6EC84E" w14:textId="09A73FA7" w:rsidR="00481DF9" w:rsidRDefault="00EB0B98" w:rsidP="00C818B5">
      <w:pPr>
        <w:spacing w:after="0" w:line="480" w:lineRule="auto"/>
        <w:ind w:firstLine="567"/>
        <w:jc w:val="both"/>
        <w:rPr>
          <w:rFonts w:cs="Times New Roman"/>
          <w:color w:val="000000" w:themeColor="text1"/>
          <w:szCs w:val="20"/>
        </w:rPr>
      </w:pPr>
      <w:r w:rsidRPr="00C664C7">
        <w:rPr>
          <w:rFonts w:cs="Times New Roman"/>
          <w:color w:val="000000" w:themeColor="text1"/>
          <w:szCs w:val="20"/>
        </w:rPr>
        <w:t>For constraints, respondents were asked to identify the primary problem they experienced in each domain. After review by the research team, responses were grouped into thematic categories. This coding approach simplifie</w:t>
      </w:r>
      <w:r w:rsidR="001C3D74">
        <w:rPr>
          <w:rFonts w:cs="Times New Roman"/>
          <w:color w:val="000000" w:themeColor="text1"/>
          <w:szCs w:val="20"/>
        </w:rPr>
        <w:t>d</w:t>
      </w:r>
      <w:r w:rsidRPr="00C664C7">
        <w:rPr>
          <w:rFonts w:cs="Times New Roman"/>
          <w:color w:val="000000" w:themeColor="text1"/>
          <w:szCs w:val="20"/>
        </w:rPr>
        <w:t xml:space="preserve"> complex constraints and is interpreted as a ranking of the most salient issue</w:t>
      </w:r>
      <w:r w:rsidR="001C3D74">
        <w:rPr>
          <w:rFonts w:cs="Times New Roman"/>
          <w:color w:val="000000" w:themeColor="text1"/>
          <w:szCs w:val="20"/>
        </w:rPr>
        <w:t>s</w:t>
      </w:r>
      <w:r w:rsidRPr="00C664C7">
        <w:rPr>
          <w:rFonts w:cs="Times New Roman"/>
          <w:color w:val="000000" w:themeColor="text1"/>
          <w:szCs w:val="20"/>
        </w:rPr>
        <w:t xml:space="preserve"> rather than a complete inventory of all problems experienced by each respondent.</w:t>
      </w:r>
    </w:p>
    <w:p w14:paraId="18459739" w14:textId="5D2F4085" w:rsidR="00AA1700" w:rsidRPr="00C664C7" w:rsidRDefault="00000000" w:rsidP="00193DD3">
      <w:pPr>
        <w:rPr>
          <w:b/>
          <w:bCs/>
          <w:color w:val="000000" w:themeColor="text1"/>
        </w:rPr>
      </w:pPr>
      <w:r w:rsidRPr="00C664C7">
        <w:rPr>
          <w:b/>
          <w:bCs/>
          <w:color w:val="000000" w:themeColor="text1"/>
        </w:rPr>
        <w:t>RESULTS</w:t>
      </w:r>
    </w:p>
    <w:p w14:paraId="40C72F83" w14:textId="0D460626" w:rsidR="00AA1700" w:rsidRPr="00C664C7" w:rsidRDefault="00000000" w:rsidP="00193DD3">
      <w:pPr>
        <w:rPr>
          <w:b/>
          <w:bCs/>
          <w:color w:val="000000" w:themeColor="text1"/>
        </w:rPr>
      </w:pPr>
      <w:r w:rsidRPr="00C664C7">
        <w:rPr>
          <w:b/>
          <w:bCs/>
          <w:color w:val="000000" w:themeColor="text1"/>
        </w:rPr>
        <w:t xml:space="preserve">Respondent </w:t>
      </w:r>
      <w:r w:rsidR="00193DD3" w:rsidRPr="00C664C7">
        <w:rPr>
          <w:b/>
          <w:bCs/>
          <w:color w:val="000000" w:themeColor="text1"/>
        </w:rPr>
        <w:t>P</w:t>
      </w:r>
      <w:r w:rsidRPr="00C664C7">
        <w:rPr>
          <w:b/>
          <w:bCs/>
          <w:color w:val="000000" w:themeColor="text1"/>
        </w:rPr>
        <w:t xml:space="preserve">rofile and </w:t>
      </w:r>
      <w:r w:rsidR="00193DD3" w:rsidRPr="00C664C7">
        <w:rPr>
          <w:b/>
          <w:bCs/>
          <w:color w:val="000000" w:themeColor="text1"/>
        </w:rPr>
        <w:t>S</w:t>
      </w:r>
      <w:r w:rsidRPr="00C664C7">
        <w:rPr>
          <w:b/>
          <w:bCs/>
          <w:color w:val="000000" w:themeColor="text1"/>
        </w:rPr>
        <w:t xml:space="preserve">alt-making </w:t>
      </w:r>
      <w:r w:rsidR="00193DD3" w:rsidRPr="00C664C7">
        <w:rPr>
          <w:b/>
          <w:bCs/>
          <w:color w:val="000000" w:themeColor="text1"/>
        </w:rPr>
        <w:t>E</w:t>
      </w:r>
      <w:r w:rsidRPr="00C664C7">
        <w:rPr>
          <w:b/>
          <w:bCs/>
          <w:color w:val="000000" w:themeColor="text1"/>
        </w:rPr>
        <w:t>xperience</w:t>
      </w:r>
    </w:p>
    <w:p w14:paraId="0D5ACEAD" w14:textId="218B71D7" w:rsidR="002F4B8C" w:rsidRPr="00C664C7" w:rsidRDefault="00000000"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A total of 590 respondents were </w:t>
      </w:r>
      <w:r w:rsidR="0063164E">
        <w:rPr>
          <w:rFonts w:cs="Times New Roman"/>
          <w:color w:val="000000" w:themeColor="text1"/>
          <w:szCs w:val="20"/>
        </w:rPr>
        <w:t>included</w:t>
      </w:r>
      <w:r w:rsidRPr="00C664C7">
        <w:rPr>
          <w:rFonts w:cs="Times New Roman"/>
          <w:color w:val="000000" w:themeColor="text1"/>
          <w:szCs w:val="20"/>
        </w:rPr>
        <w:t xml:space="preserve"> across Regions I, III, IV-B, VI, and X (Table 1). Region I accounted for the largest number of respondents because it included Ilocos Norte, Ilocos Sur, La Union, and Pangasinan. Western Visayas also contributed a large share through Iloilo, Guimaras, and Negros Occidental.</w:t>
      </w:r>
    </w:p>
    <w:p w14:paraId="4ACD1B59" w14:textId="0216C212" w:rsidR="006C38D8" w:rsidRDefault="006C38D8" w:rsidP="00193DD3">
      <w:pPr>
        <w:autoSpaceDE w:val="0"/>
        <w:autoSpaceDN w:val="0"/>
        <w:adjustRightInd w:val="0"/>
        <w:spacing w:after="0" w:line="480" w:lineRule="auto"/>
        <w:ind w:firstLine="567"/>
        <w:jc w:val="both"/>
        <w:rPr>
          <w:rFonts w:cs="Times New Roman"/>
          <w:color w:val="000000" w:themeColor="text1"/>
          <w:szCs w:val="20"/>
        </w:rPr>
      </w:pPr>
      <w:r w:rsidRPr="00C664C7">
        <w:rPr>
          <w:rFonts w:cs="Times New Roman"/>
          <w:color w:val="000000" w:themeColor="text1"/>
          <w:szCs w:val="20"/>
        </w:rPr>
        <w:t>Most respondents were male (410, 69.5%), while females accounted for 180 (30.5%) of the sample (Table 2). Married respondents comprised the largest share (477, 80.8%), followed by single respondents (78, 13.2%) and widowed respondents (35, 5.9%). The age distribution further show</w:t>
      </w:r>
      <w:r w:rsidR="0063164E">
        <w:rPr>
          <w:rFonts w:cs="Times New Roman"/>
          <w:color w:val="000000" w:themeColor="text1"/>
          <w:szCs w:val="20"/>
        </w:rPr>
        <w:t>ed</w:t>
      </w:r>
      <w:r w:rsidRPr="00C664C7">
        <w:rPr>
          <w:rFonts w:cs="Times New Roman"/>
          <w:color w:val="000000" w:themeColor="text1"/>
          <w:szCs w:val="20"/>
        </w:rPr>
        <w:t xml:space="preserve"> that salt production was largely undertaken by older working-age respondents. The largest proportion </w:t>
      </w:r>
      <w:r w:rsidR="0063164E">
        <w:rPr>
          <w:rFonts w:cs="Times New Roman"/>
          <w:color w:val="000000" w:themeColor="text1"/>
          <w:szCs w:val="20"/>
        </w:rPr>
        <w:t>belonged to</w:t>
      </w:r>
      <w:r w:rsidRPr="00C664C7">
        <w:rPr>
          <w:rFonts w:cs="Times New Roman"/>
          <w:color w:val="000000" w:themeColor="text1"/>
          <w:szCs w:val="20"/>
        </w:rPr>
        <w:t xml:space="preserve"> the 46–59 age group (245 or 41.5%), followed by those aged 60 years or older (161 or 27.3%) and those aged 31–45 years (159 or 26.9%). Only 25 (4.2%) respondents were 18–30 years old. This age structure suggests that the salt-making workforce is sustained mainly by middle-aged and older producers, with relatively limited participation from younger workers. </w:t>
      </w:r>
    </w:p>
    <w:p w14:paraId="05F0739F" w14:textId="77777777" w:rsidR="001460F0" w:rsidRPr="00157E06" w:rsidRDefault="001460F0" w:rsidP="00157E06">
      <w:pPr>
        <w:spacing w:after="0" w:line="480" w:lineRule="auto"/>
        <w:jc w:val="both"/>
        <w:rPr>
          <w:rFonts w:cs="Times New Roman"/>
          <w:b/>
          <w:color w:val="000000" w:themeColor="text1"/>
          <w:sz w:val="18"/>
          <w:szCs w:val="18"/>
        </w:rPr>
      </w:pPr>
      <w:r w:rsidRPr="00157E06">
        <w:rPr>
          <w:rFonts w:cs="Times New Roman"/>
          <w:b/>
          <w:color w:val="000000" w:themeColor="text1"/>
          <w:sz w:val="18"/>
          <w:szCs w:val="18"/>
        </w:rPr>
        <w:t xml:space="preserve">Table 2. </w:t>
      </w:r>
      <w:r w:rsidRPr="00157E06">
        <w:rPr>
          <w:rFonts w:cs="Times New Roman"/>
          <w:bCs/>
          <w:color w:val="000000" w:themeColor="text1"/>
          <w:sz w:val="18"/>
          <w:szCs w:val="18"/>
        </w:rPr>
        <w:t>Sociodemographic characteristics, respondent classification, and salt-making experience of salt makers (n=590).</w:t>
      </w:r>
    </w:p>
    <w:tbl>
      <w:tblPr>
        <w:tblStyle w:val="TableGrid"/>
        <w:tblW w:w="5000" w:type="pct"/>
        <w:tblLook w:val="04A0" w:firstRow="1" w:lastRow="0" w:firstColumn="1" w:lastColumn="0" w:noHBand="0" w:noVBand="1"/>
      </w:tblPr>
      <w:tblGrid>
        <w:gridCol w:w="2335"/>
        <w:gridCol w:w="3138"/>
        <w:gridCol w:w="1787"/>
        <w:gridCol w:w="1756"/>
      </w:tblGrid>
      <w:tr w:rsidR="001460F0" w:rsidRPr="00214DA3" w14:paraId="0EC4B292" w14:textId="77777777" w:rsidTr="00157E06">
        <w:tc>
          <w:tcPr>
            <w:tcW w:w="1295" w:type="pct"/>
            <w:vAlign w:val="center"/>
          </w:tcPr>
          <w:p w14:paraId="7490590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Characteristic</w:t>
            </w:r>
          </w:p>
        </w:tc>
        <w:tc>
          <w:tcPr>
            <w:tcW w:w="1740" w:type="pct"/>
            <w:vAlign w:val="center"/>
          </w:tcPr>
          <w:p w14:paraId="60B43935"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Category</w:t>
            </w:r>
          </w:p>
        </w:tc>
        <w:tc>
          <w:tcPr>
            <w:tcW w:w="991" w:type="pct"/>
            <w:vAlign w:val="center"/>
          </w:tcPr>
          <w:p w14:paraId="7D03942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Frequency</w:t>
            </w:r>
          </w:p>
        </w:tc>
        <w:tc>
          <w:tcPr>
            <w:tcW w:w="974" w:type="pct"/>
            <w:vAlign w:val="center"/>
          </w:tcPr>
          <w:p w14:paraId="0D5847B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Percent</w:t>
            </w:r>
          </w:p>
        </w:tc>
      </w:tr>
      <w:tr w:rsidR="001460F0" w:rsidRPr="00214DA3" w14:paraId="38F6A494" w14:textId="77777777" w:rsidTr="00157E06">
        <w:tc>
          <w:tcPr>
            <w:tcW w:w="1295" w:type="pct"/>
            <w:vMerge w:val="restart"/>
            <w:vAlign w:val="center"/>
          </w:tcPr>
          <w:p w14:paraId="2B033227"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Sex</w:t>
            </w:r>
          </w:p>
        </w:tc>
        <w:tc>
          <w:tcPr>
            <w:tcW w:w="1740" w:type="pct"/>
            <w:vAlign w:val="center"/>
          </w:tcPr>
          <w:p w14:paraId="34A7D4F7"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Male</w:t>
            </w:r>
          </w:p>
        </w:tc>
        <w:tc>
          <w:tcPr>
            <w:tcW w:w="991" w:type="pct"/>
            <w:vAlign w:val="center"/>
          </w:tcPr>
          <w:p w14:paraId="25A1D68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410</w:t>
            </w:r>
          </w:p>
        </w:tc>
        <w:tc>
          <w:tcPr>
            <w:tcW w:w="974" w:type="pct"/>
            <w:vAlign w:val="center"/>
          </w:tcPr>
          <w:p w14:paraId="4CB0E2B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69.5</w:t>
            </w:r>
          </w:p>
        </w:tc>
      </w:tr>
      <w:tr w:rsidR="001460F0" w:rsidRPr="00214DA3" w14:paraId="75D370AF" w14:textId="77777777" w:rsidTr="00157E06">
        <w:tc>
          <w:tcPr>
            <w:tcW w:w="1295" w:type="pct"/>
            <w:vMerge/>
            <w:vAlign w:val="center"/>
          </w:tcPr>
          <w:p w14:paraId="6914A5A5" w14:textId="77777777" w:rsidR="001460F0" w:rsidRPr="00214DA3" w:rsidRDefault="001460F0" w:rsidP="009E0D55">
            <w:pPr>
              <w:rPr>
                <w:rFonts w:cs="Times New Roman"/>
                <w:color w:val="000000" w:themeColor="text1"/>
                <w:szCs w:val="20"/>
              </w:rPr>
            </w:pPr>
          </w:p>
        </w:tc>
        <w:tc>
          <w:tcPr>
            <w:tcW w:w="1740" w:type="pct"/>
            <w:vAlign w:val="center"/>
          </w:tcPr>
          <w:p w14:paraId="582389A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Female</w:t>
            </w:r>
          </w:p>
        </w:tc>
        <w:tc>
          <w:tcPr>
            <w:tcW w:w="991" w:type="pct"/>
            <w:vAlign w:val="center"/>
          </w:tcPr>
          <w:p w14:paraId="666495E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180</w:t>
            </w:r>
          </w:p>
        </w:tc>
        <w:tc>
          <w:tcPr>
            <w:tcW w:w="974" w:type="pct"/>
            <w:vAlign w:val="center"/>
          </w:tcPr>
          <w:p w14:paraId="3BD858C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30.5</w:t>
            </w:r>
          </w:p>
        </w:tc>
      </w:tr>
      <w:tr w:rsidR="001460F0" w:rsidRPr="00214DA3" w14:paraId="658E1ECE" w14:textId="77777777" w:rsidTr="00157E06">
        <w:tc>
          <w:tcPr>
            <w:tcW w:w="1295" w:type="pct"/>
            <w:vMerge w:val="restart"/>
            <w:vAlign w:val="center"/>
          </w:tcPr>
          <w:p w14:paraId="4B96DCF7"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Civil status</w:t>
            </w:r>
          </w:p>
        </w:tc>
        <w:tc>
          <w:tcPr>
            <w:tcW w:w="1740" w:type="pct"/>
            <w:vAlign w:val="center"/>
          </w:tcPr>
          <w:p w14:paraId="75A7BF14"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Married</w:t>
            </w:r>
          </w:p>
        </w:tc>
        <w:tc>
          <w:tcPr>
            <w:tcW w:w="991" w:type="pct"/>
            <w:vAlign w:val="center"/>
          </w:tcPr>
          <w:p w14:paraId="3F5A49D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477</w:t>
            </w:r>
          </w:p>
        </w:tc>
        <w:tc>
          <w:tcPr>
            <w:tcW w:w="974" w:type="pct"/>
            <w:vAlign w:val="center"/>
          </w:tcPr>
          <w:p w14:paraId="05CEB1F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80.8</w:t>
            </w:r>
          </w:p>
        </w:tc>
      </w:tr>
      <w:tr w:rsidR="001460F0" w:rsidRPr="00214DA3" w14:paraId="63C18DDB" w14:textId="77777777" w:rsidTr="00157E06">
        <w:tc>
          <w:tcPr>
            <w:tcW w:w="1295" w:type="pct"/>
            <w:vMerge/>
            <w:vAlign w:val="center"/>
          </w:tcPr>
          <w:p w14:paraId="1840A905" w14:textId="77777777" w:rsidR="001460F0" w:rsidRPr="00214DA3" w:rsidRDefault="001460F0" w:rsidP="009E0D55">
            <w:pPr>
              <w:rPr>
                <w:rFonts w:cs="Times New Roman"/>
                <w:color w:val="000000" w:themeColor="text1"/>
                <w:szCs w:val="20"/>
              </w:rPr>
            </w:pPr>
          </w:p>
        </w:tc>
        <w:tc>
          <w:tcPr>
            <w:tcW w:w="1740" w:type="pct"/>
            <w:vAlign w:val="center"/>
          </w:tcPr>
          <w:p w14:paraId="03A0D2AD"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Single</w:t>
            </w:r>
          </w:p>
        </w:tc>
        <w:tc>
          <w:tcPr>
            <w:tcW w:w="991" w:type="pct"/>
            <w:vAlign w:val="center"/>
          </w:tcPr>
          <w:p w14:paraId="4BBEF09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78</w:t>
            </w:r>
          </w:p>
        </w:tc>
        <w:tc>
          <w:tcPr>
            <w:tcW w:w="974" w:type="pct"/>
            <w:vAlign w:val="center"/>
          </w:tcPr>
          <w:p w14:paraId="7721B8F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13.2</w:t>
            </w:r>
          </w:p>
        </w:tc>
      </w:tr>
      <w:tr w:rsidR="001460F0" w:rsidRPr="00214DA3" w14:paraId="172E9820" w14:textId="77777777" w:rsidTr="00157E06">
        <w:tc>
          <w:tcPr>
            <w:tcW w:w="1295" w:type="pct"/>
            <w:vMerge/>
            <w:vAlign w:val="center"/>
          </w:tcPr>
          <w:p w14:paraId="136BF855" w14:textId="77777777" w:rsidR="001460F0" w:rsidRPr="00214DA3" w:rsidRDefault="001460F0" w:rsidP="009E0D55">
            <w:pPr>
              <w:rPr>
                <w:rFonts w:cs="Times New Roman"/>
                <w:color w:val="000000" w:themeColor="text1"/>
                <w:szCs w:val="20"/>
              </w:rPr>
            </w:pPr>
          </w:p>
        </w:tc>
        <w:tc>
          <w:tcPr>
            <w:tcW w:w="1740" w:type="pct"/>
            <w:vAlign w:val="center"/>
          </w:tcPr>
          <w:p w14:paraId="30228C54"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Widowed</w:t>
            </w:r>
          </w:p>
        </w:tc>
        <w:tc>
          <w:tcPr>
            <w:tcW w:w="991" w:type="pct"/>
            <w:vAlign w:val="center"/>
          </w:tcPr>
          <w:p w14:paraId="386E35E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w:t>
            </w:r>
          </w:p>
        </w:tc>
        <w:tc>
          <w:tcPr>
            <w:tcW w:w="974" w:type="pct"/>
            <w:vAlign w:val="center"/>
          </w:tcPr>
          <w:p w14:paraId="7715B78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5.9</w:t>
            </w:r>
          </w:p>
        </w:tc>
      </w:tr>
      <w:tr w:rsidR="001460F0" w:rsidRPr="00214DA3" w14:paraId="554EB84F" w14:textId="77777777" w:rsidTr="00157E06">
        <w:tc>
          <w:tcPr>
            <w:tcW w:w="1295" w:type="pct"/>
            <w:vMerge w:val="restart"/>
            <w:vAlign w:val="center"/>
          </w:tcPr>
          <w:p w14:paraId="718ED49F"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Age group</w:t>
            </w:r>
          </w:p>
        </w:tc>
        <w:tc>
          <w:tcPr>
            <w:tcW w:w="1740" w:type="pct"/>
            <w:vAlign w:val="center"/>
          </w:tcPr>
          <w:p w14:paraId="0F7FBF2B"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18–30</w:t>
            </w:r>
          </w:p>
        </w:tc>
        <w:tc>
          <w:tcPr>
            <w:tcW w:w="991" w:type="pct"/>
            <w:vAlign w:val="center"/>
          </w:tcPr>
          <w:p w14:paraId="32D57B3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25</w:t>
            </w:r>
          </w:p>
        </w:tc>
        <w:tc>
          <w:tcPr>
            <w:tcW w:w="974" w:type="pct"/>
            <w:vAlign w:val="center"/>
          </w:tcPr>
          <w:p w14:paraId="42E48F0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4.2</w:t>
            </w:r>
          </w:p>
        </w:tc>
      </w:tr>
      <w:tr w:rsidR="001460F0" w:rsidRPr="00214DA3" w14:paraId="09719F81" w14:textId="77777777" w:rsidTr="00157E06">
        <w:tc>
          <w:tcPr>
            <w:tcW w:w="1295" w:type="pct"/>
            <w:vMerge/>
            <w:vAlign w:val="center"/>
          </w:tcPr>
          <w:p w14:paraId="48018936" w14:textId="77777777" w:rsidR="001460F0" w:rsidRPr="00214DA3" w:rsidRDefault="001460F0" w:rsidP="009E0D55">
            <w:pPr>
              <w:rPr>
                <w:rFonts w:cs="Times New Roman"/>
                <w:color w:val="000000" w:themeColor="text1"/>
                <w:szCs w:val="20"/>
              </w:rPr>
            </w:pPr>
          </w:p>
        </w:tc>
        <w:tc>
          <w:tcPr>
            <w:tcW w:w="1740" w:type="pct"/>
            <w:vAlign w:val="center"/>
          </w:tcPr>
          <w:p w14:paraId="7DF9C6A3"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31–45</w:t>
            </w:r>
          </w:p>
        </w:tc>
        <w:tc>
          <w:tcPr>
            <w:tcW w:w="991" w:type="pct"/>
            <w:vAlign w:val="center"/>
          </w:tcPr>
          <w:p w14:paraId="72465C3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159</w:t>
            </w:r>
          </w:p>
        </w:tc>
        <w:tc>
          <w:tcPr>
            <w:tcW w:w="974" w:type="pct"/>
            <w:vAlign w:val="center"/>
          </w:tcPr>
          <w:p w14:paraId="104D884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26.9</w:t>
            </w:r>
          </w:p>
        </w:tc>
      </w:tr>
      <w:tr w:rsidR="001460F0" w:rsidRPr="00214DA3" w14:paraId="40A7E38E" w14:textId="77777777" w:rsidTr="00157E06">
        <w:tc>
          <w:tcPr>
            <w:tcW w:w="1295" w:type="pct"/>
            <w:vMerge/>
            <w:vAlign w:val="center"/>
          </w:tcPr>
          <w:p w14:paraId="6700C292" w14:textId="77777777" w:rsidR="001460F0" w:rsidRPr="00214DA3" w:rsidRDefault="001460F0" w:rsidP="009E0D55">
            <w:pPr>
              <w:rPr>
                <w:rFonts w:cs="Times New Roman"/>
                <w:color w:val="000000" w:themeColor="text1"/>
                <w:szCs w:val="20"/>
              </w:rPr>
            </w:pPr>
          </w:p>
        </w:tc>
        <w:tc>
          <w:tcPr>
            <w:tcW w:w="1740" w:type="pct"/>
            <w:vAlign w:val="center"/>
          </w:tcPr>
          <w:p w14:paraId="2335496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46–59</w:t>
            </w:r>
          </w:p>
        </w:tc>
        <w:tc>
          <w:tcPr>
            <w:tcW w:w="991" w:type="pct"/>
            <w:vAlign w:val="center"/>
          </w:tcPr>
          <w:p w14:paraId="4E4E09F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245</w:t>
            </w:r>
          </w:p>
        </w:tc>
        <w:tc>
          <w:tcPr>
            <w:tcW w:w="974" w:type="pct"/>
            <w:vAlign w:val="center"/>
          </w:tcPr>
          <w:p w14:paraId="22E1849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41.5</w:t>
            </w:r>
          </w:p>
        </w:tc>
      </w:tr>
      <w:tr w:rsidR="001460F0" w:rsidRPr="00214DA3" w14:paraId="2BC5D289" w14:textId="77777777" w:rsidTr="00157E06">
        <w:tc>
          <w:tcPr>
            <w:tcW w:w="1295" w:type="pct"/>
            <w:vMerge/>
            <w:vAlign w:val="center"/>
          </w:tcPr>
          <w:p w14:paraId="03D1847F" w14:textId="77777777" w:rsidR="001460F0" w:rsidRPr="00214DA3" w:rsidRDefault="001460F0" w:rsidP="009E0D55">
            <w:pPr>
              <w:rPr>
                <w:rFonts w:cs="Times New Roman"/>
                <w:color w:val="000000" w:themeColor="text1"/>
                <w:szCs w:val="20"/>
              </w:rPr>
            </w:pPr>
          </w:p>
        </w:tc>
        <w:tc>
          <w:tcPr>
            <w:tcW w:w="1740" w:type="pct"/>
            <w:vAlign w:val="center"/>
          </w:tcPr>
          <w:p w14:paraId="17D4C1A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&gt;60</w:t>
            </w:r>
          </w:p>
        </w:tc>
        <w:tc>
          <w:tcPr>
            <w:tcW w:w="991" w:type="pct"/>
            <w:vAlign w:val="center"/>
          </w:tcPr>
          <w:p w14:paraId="5816AC8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161</w:t>
            </w:r>
          </w:p>
        </w:tc>
        <w:tc>
          <w:tcPr>
            <w:tcW w:w="974" w:type="pct"/>
            <w:vAlign w:val="center"/>
          </w:tcPr>
          <w:p w14:paraId="78E607C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27.3</w:t>
            </w:r>
          </w:p>
        </w:tc>
      </w:tr>
      <w:tr w:rsidR="001460F0" w:rsidRPr="00214DA3" w14:paraId="65A3E931" w14:textId="77777777" w:rsidTr="00157E06">
        <w:tc>
          <w:tcPr>
            <w:tcW w:w="1295" w:type="pct"/>
            <w:vMerge w:val="restart"/>
            <w:vAlign w:val="center"/>
          </w:tcPr>
          <w:p w14:paraId="5F2A98E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Educational attainment</w:t>
            </w:r>
          </w:p>
        </w:tc>
        <w:tc>
          <w:tcPr>
            <w:tcW w:w="1740" w:type="pct"/>
            <w:vAlign w:val="center"/>
          </w:tcPr>
          <w:p w14:paraId="0037B1AE"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Elementary level</w:t>
            </w:r>
          </w:p>
        </w:tc>
        <w:tc>
          <w:tcPr>
            <w:tcW w:w="991" w:type="pct"/>
            <w:vAlign w:val="center"/>
          </w:tcPr>
          <w:p w14:paraId="73A80DB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60</w:t>
            </w:r>
          </w:p>
        </w:tc>
        <w:tc>
          <w:tcPr>
            <w:tcW w:w="974" w:type="pct"/>
            <w:vAlign w:val="center"/>
          </w:tcPr>
          <w:p w14:paraId="112222F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10.2</w:t>
            </w:r>
          </w:p>
        </w:tc>
      </w:tr>
      <w:tr w:rsidR="001460F0" w:rsidRPr="00214DA3" w14:paraId="14993F09" w14:textId="77777777" w:rsidTr="00157E06">
        <w:tc>
          <w:tcPr>
            <w:tcW w:w="1295" w:type="pct"/>
            <w:vMerge/>
            <w:vAlign w:val="center"/>
          </w:tcPr>
          <w:p w14:paraId="5C35F4FC" w14:textId="77777777" w:rsidR="001460F0" w:rsidRPr="00214DA3" w:rsidRDefault="001460F0" w:rsidP="009E0D55">
            <w:pPr>
              <w:rPr>
                <w:rFonts w:cs="Times New Roman"/>
                <w:color w:val="000000" w:themeColor="text1"/>
                <w:szCs w:val="20"/>
              </w:rPr>
            </w:pPr>
          </w:p>
        </w:tc>
        <w:tc>
          <w:tcPr>
            <w:tcW w:w="1740" w:type="pct"/>
            <w:vAlign w:val="center"/>
          </w:tcPr>
          <w:p w14:paraId="1D044EE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Elementary graduate</w:t>
            </w:r>
          </w:p>
        </w:tc>
        <w:tc>
          <w:tcPr>
            <w:tcW w:w="991" w:type="pct"/>
            <w:vAlign w:val="center"/>
          </w:tcPr>
          <w:p w14:paraId="4952AD5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149</w:t>
            </w:r>
          </w:p>
        </w:tc>
        <w:tc>
          <w:tcPr>
            <w:tcW w:w="974" w:type="pct"/>
            <w:vAlign w:val="center"/>
          </w:tcPr>
          <w:p w14:paraId="03D16EE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25.3</w:t>
            </w:r>
          </w:p>
        </w:tc>
      </w:tr>
      <w:tr w:rsidR="001460F0" w:rsidRPr="00214DA3" w14:paraId="1E9FFF4C" w14:textId="77777777" w:rsidTr="00157E06">
        <w:tc>
          <w:tcPr>
            <w:tcW w:w="1295" w:type="pct"/>
            <w:vMerge/>
            <w:vAlign w:val="center"/>
          </w:tcPr>
          <w:p w14:paraId="5613F3F1" w14:textId="77777777" w:rsidR="001460F0" w:rsidRPr="00214DA3" w:rsidRDefault="001460F0" w:rsidP="009E0D55">
            <w:pPr>
              <w:rPr>
                <w:rFonts w:cs="Times New Roman"/>
                <w:color w:val="000000" w:themeColor="text1"/>
                <w:szCs w:val="20"/>
              </w:rPr>
            </w:pPr>
          </w:p>
        </w:tc>
        <w:tc>
          <w:tcPr>
            <w:tcW w:w="1740" w:type="pct"/>
            <w:vAlign w:val="center"/>
          </w:tcPr>
          <w:p w14:paraId="56823CD1"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High school level</w:t>
            </w:r>
          </w:p>
        </w:tc>
        <w:tc>
          <w:tcPr>
            <w:tcW w:w="991" w:type="pct"/>
            <w:vAlign w:val="center"/>
          </w:tcPr>
          <w:p w14:paraId="5D63F6B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80</w:t>
            </w:r>
          </w:p>
        </w:tc>
        <w:tc>
          <w:tcPr>
            <w:tcW w:w="974" w:type="pct"/>
            <w:vAlign w:val="center"/>
          </w:tcPr>
          <w:p w14:paraId="5EFCADA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13.6</w:t>
            </w:r>
          </w:p>
        </w:tc>
      </w:tr>
      <w:tr w:rsidR="001460F0" w:rsidRPr="00214DA3" w14:paraId="7606D165" w14:textId="77777777" w:rsidTr="00157E06">
        <w:tc>
          <w:tcPr>
            <w:tcW w:w="1295" w:type="pct"/>
            <w:vMerge/>
            <w:vAlign w:val="center"/>
          </w:tcPr>
          <w:p w14:paraId="7B11CF96" w14:textId="77777777" w:rsidR="001460F0" w:rsidRPr="00214DA3" w:rsidRDefault="001460F0" w:rsidP="009E0D55">
            <w:pPr>
              <w:rPr>
                <w:rFonts w:cs="Times New Roman"/>
                <w:color w:val="000000" w:themeColor="text1"/>
                <w:szCs w:val="20"/>
              </w:rPr>
            </w:pPr>
          </w:p>
        </w:tc>
        <w:tc>
          <w:tcPr>
            <w:tcW w:w="1740" w:type="pct"/>
            <w:vAlign w:val="center"/>
          </w:tcPr>
          <w:p w14:paraId="7555AA8B"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High school graduate</w:t>
            </w:r>
          </w:p>
        </w:tc>
        <w:tc>
          <w:tcPr>
            <w:tcW w:w="991" w:type="pct"/>
            <w:vAlign w:val="center"/>
          </w:tcPr>
          <w:p w14:paraId="727C9CD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193</w:t>
            </w:r>
          </w:p>
        </w:tc>
        <w:tc>
          <w:tcPr>
            <w:tcW w:w="974" w:type="pct"/>
            <w:vAlign w:val="center"/>
          </w:tcPr>
          <w:p w14:paraId="3199D82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32.7</w:t>
            </w:r>
          </w:p>
        </w:tc>
      </w:tr>
      <w:tr w:rsidR="001460F0" w:rsidRPr="00214DA3" w14:paraId="71F097E2" w14:textId="77777777" w:rsidTr="00157E06">
        <w:tc>
          <w:tcPr>
            <w:tcW w:w="1295" w:type="pct"/>
            <w:vMerge/>
            <w:vAlign w:val="center"/>
          </w:tcPr>
          <w:p w14:paraId="7E9BFF7B" w14:textId="77777777" w:rsidR="001460F0" w:rsidRPr="00214DA3" w:rsidRDefault="001460F0" w:rsidP="009E0D55">
            <w:pPr>
              <w:rPr>
                <w:rFonts w:cs="Times New Roman"/>
                <w:color w:val="000000" w:themeColor="text1"/>
                <w:szCs w:val="20"/>
              </w:rPr>
            </w:pPr>
          </w:p>
        </w:tc>
        <w:tc>
          <w:tcPr>
            <w:tcW w:w="1740" w:type="pct"/>
            <w:vAlign w:val="center"/>
          </w:tcPr>
          <w:p w14:paraId="41A5123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College level</w:t>
            </w:r>
          </w:p>
        </w:tc>
        <w:tc>
          <w:tcPr>
            <w:tcW w:w="991" w:type="pct"/>
            <w:vAlign w:val="center"/>
          </w:tcPr>
          <w:p w14:paraId="74B782B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60</w:t>
            </w:r>
          </w:p>
        </w:tc>
        <w:tc>
          <w:tcPr>
            <w:tcW w:w="974" w:type="pct"/>
            <w:vAlign w:val="center"/>
          </w:tcPr>
          <w:p w14:paraId="3F1DB68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10.2</w:t>
            </w:r>
          </w:p>
        </w:tc>
      </w:tr>
      <w:tr w:rsidR="001460F0" w:rsidRPr="00214DA3" w14:paraId="76C5F684" w14:textId="77777777" w:rsidTr="00157E06">
        <w:tc>
          <w:tcPr>
            <w:tcW w:w="1295" w:type="pct"/>
            <w:vMerge/>
            <w:vAlign w:val="center"/>
          </w:tcPr>
          <w:p w14:paraId="35FFAB71" w14:textId="77777777" w:rsidR="001460F0" w:rsidRPr="00214DA3" w:rsidRDefault="001460F0" w:rsidP="009E0D55">
            <w:pPr>
              <w:rPr>
                <w:rFonts w:cs="Times New Roman"/>
                <w:color w:val="000000" w:themeColor="text1"/>
                <w:szCs w:val="20"/>
              </w:rPr>
            </w:pPr>
          </w:p>
        </w:tc>
        <w:tc>
          <w:tcPr>
            <w:tcW w:w="1740" w:type="pct"/>
            <w:vAlign w:val="center"/>
          </w:tcPr>
          <w:p w14:paraId="2C60EF1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College graduate</w:t>
            </w:r>
          </w:p>
        </w:tc>
        <w:tc>
          <w:tcPr>
            <w:tcW w:w="991" w:type="pct"/>
            <w:vAlign w:val="center"/>
          </w:tcPr>
          <w:p w14:paraId="1DC0DB1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45</w:t>
            </w:r>
          </w:p>
        </w:tc>
        <w:tc>
          <w:tcPr>
            <w:tcW w:w="974" w:type="pct"/>
            <w:vAlign w:val="center"/>
          </w:tcPr>
          <w:p w14:paraId="0AA1A86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7.6</w:t>
            </w:r>
          </w:p>
        </w:tc>
      </w:tr>
      <w:tr w:rsidR="001460F0" w:rsidRPr="00214DA3" w14:paraId="7B0B779B" w14:textId="77777777" w:rsidTr="00157E06">
        <w:tc>
          <w:tcPr>
            <w:tcW w:w="1295" w:type="pct"/>
            <w:vMerge/>
            <w:vAlign w:val="center"/>
          </w:tcPr>
          <w:p w14:paraId="238F1F44" w14:textId="77777777" w:rsidR="001460F0" w:rsidRPr="00214DA3" w:rsidRDefault="001460F0" w:rsidP="009E0D55">
            <w:pPr>
              <w:rPr>
                <w:rFonts w:cs="Times New Roman"/>
                <w:color w:val="000000" w:themeColor="text1"/>
                <w:szCs w:val="20"/>
              </w:rPr>
            </w:pPr>
          </w:p>
        </w:tc>
        <w:tc>
          <w:tcPr>
            <w:tcW w:w="1740" w:type="pct"/>
            <w:vAlign w:val="center"/>
          </w:tcPr>
          <w:p w14:paraId="44AF2A2D"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Postgraduate</w:t>
            </w:r>
          </w:p>
        </w:tc>
        <w:tc>
          <w:tcPr>
            <w:tcW w:w="991" w:type="pct"/>
            <w:vAlign w:val="center"/>
          </w:tcPr>
          <w:p w14:paraId="0EF1DC3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w:t>
            </w:r>
          </w:p>
        </w:tc>
        <w:tc>
          <w:tcPr>
            <w:tcW w:w="974" w:type="pct"/>
            <w:vAlign w:val="center"/>
          </w:tcPr>
          <w:p w14:paraId="6F99D19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0.2</w:t>
            </w:r>
          </w:p>
        </w:tc>
      </w:tr>
      <w:tr w:rsidR="001460F0" w:rsidRPr="00214DA3" w14:paraId="6F81E8C4" w14:textId="77777777" w:rsidTr="00157E06">
        <w:tc>
          <w:tcPr>
            <w:tcW w:w="1295" w:type="pct"/>
            <w:vMerge/>
            <w:vAlign w:val="center"/>
          </w:tcPr>
          <w:p w14:paraId="01F87404" w14:textId="77777777" w:rsidR="001460F0" w:rsidRPr="00214DA3" w:rsidRDefault="001460F0" w:rsidP="009E0D55">
            <w:pPr>
              <w:rPr>
                <w:rFonts w:cs="Times New Roman"/>
                <w:color w:val="000000" w:themeColor="text1"/>
                <w:szCs w:val="20"/>
              </w:rPr>
            </w:pPr>
          </w:p>
        </w:tc>
        <w:tc>
          <w:tcPr>
            <w:tcW w:w="1740" w:type="pct"/>
            <w:vAlign w:val="center"/>
          </w:tcPr>
          <w:p w14:paraId="338776ED"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Vocational</w:t>
            </w:r>
          </w:p>
        </w:tc>
        <w:tc>
          <w:tcPr>
            <w:tcW w:w="991" w:type="pct"/>
            <w:vAlign w:val="center"/>
          </w:tcPr>
          <w:p w14:paraId="6EEA21C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w:t>
            </w:r>
          </w:p>
        </w:tc>
        <w:tc>
          <w:tcPr>
            <w:tcW w:w="974" w:type="pct"/>
            <w:vAlign w:val="center"/>
          </w:tcPr>
          <w:p w14:paraId="271F1C0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0.3</w:t>
            </w:r>
          </w:p>
        </w:tc>
      </w:tr>
      <w:tr w:rsidR="001460F0" w:rsidRPr="00214DA3" w14:paraId="6FC279D4" w14:textId="77777777" w:rsidTr="00157E06">
        <w:tc>
          <w:tcPr>
            <w:tcW w:w="1295" w:type="pct"/>
            <w:vMerge w:val="restart"/>
            <w:vAlign w:val="center"/>
          </w:tcPr>
          <w:p w14:paraId="65CB8CF4"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Respondent classification</w:t>
            </w:r>
          </w:p>
        </w:tc>
        <w:tc>
          <w:tcPr>
            <w:tcW w:w="1740" w:type="pct"/>
            <w:vAlign w:val="center"/>
          </w:tcPr>
          <w:p w14:paraId="4CEB6041"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Owner</w:t>
            </w:r>
          </w:p>
        </w:tc>
        <w:tc>
          <w:tcPr>
            <w:tcW w:w="991" w:type="pct"/>
            <w:vAlign w:val="center"/>
          </w:tcPr>
          <w:p w14:paraId="7CD881D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193</w:t>
            </w:r>
          </w:p>
        </w:tc>
        <w:tc>
          <w:tcPr>
            <w:tcW w:w="974" w:type="pct"/>
            <w:vAlign w:val="center"/>
          </w:tcPr>
          <w:p w14:paraId="18FAFCD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32.7</w:t>
            </w:r>
          </w:p>
        </w:tc>
      </w:tr>
      <w:tr w:rsidR="001460F0" w:rsidRPr="00214DA3" w14:paraId="3C77ED24" w14:textId="77777777" w:rsidTr="00157E06">
        <w:tc>
          <w:tcPr>
            <w:tcW w:w="1295" w:type="pct"/>
            <w:vMerge/>
            <w:vAlign w:val="center"/>
          </w:tcPr>
          <w:p w14:paraId="12C89CED" w14:textId="77777777" w:rsidR="001460F0" w:rsidRPr="00214DA3" w:rsidRDefault="001460F0" w:rsidP="009E0D55">
            <w:pPr>
              <w:rPr>
                <w:rFonts w:cs="Times New Roman"/>
                <w:color w:val="000000" w:themeColor="text1"/>
                <w:szCs w:val="20"/>
              </w:rPr>
            </w:pPr>
          </w:p>
        </w:tc>
        <w:tc>
          <w:tcPr>
            <w:tcW w:w="1740" w:type="pct"/>
            <w:vAlign w:val="center"/>
          </w:tcPr>
          <w:p w14:paraId="3538DA95"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Renter</w:t>
            </w:r>
          </w:p>
        </w:tc>
        <w:tc>
          <w:tcPr>
            <w:tcW w:w="991" w:type="pct"/>
            <w:vAlign w:val="center"/>
          </w:tcPr>
          <w:p w14:paraId="61265F9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178</w:t>
            </w:r>
          </w:p>
        </w:tc>
        <w:tc>
          <w:tcPr>
            <w:tcW w:w="974" w:type="pct"/>
            <w:vAlign w:val="center"/>
          </w:tcPr>
          <w:p w14:paraId="182E1F6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30.2</w:t>
            </w:r>
          </w:p>
        </w:tc>
      </w:tr>
      <w:tr w:rsidR="001460F0" w:rsidRPr="00214DA3" w14:paraId="66681401" w14:textId="77777777" w:rsidTr="00157E06">
        <w:tc>
          <w:tcPr>
            <w:tcW w:w="1295" w:type="pct"/>
            <w:vMerge/>
            <w:vAlign w:val="center"/>
          </w:tcPr>
          <w:p w14:paraId="5FD14A6E" w14:textId="77777777" w:rsidR="001460F0" w:rsidRPr="00214DA3" w:rsidRDefault="001460F0" w:rsidP="009E0D55">
            <w:pPr>
              <w:rPr>
                <w:rFonts w:cs="Times New Roman"/>
                <w:color w:val="000000" w:themeColor="text1"/>
                <w:szCs w:val="20"/>
              </w:rPr>
            </w:pPr>
          </w:p>
        </w:tc>
        <w:tc>
          <w:tcPr>
            <w:tcW w:w="1740" w:type="pct"/>
            <w:vAlign w:val="center"/>
          </w:tcPr>
          <w:p w14:paraId="7B213B51"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Laborer</w:t>
            </w:r>
          </w:p>
        </w:tc>
        <w:tc>
          <w:tcPr>
            <w:tcW w:w="991" w:type="pct"/>
            <w:vAlign w:val="center"/>
          </w:tcPr>
          <w:p w14:paraId="44ED9F1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115</w:t>
            </w:r>
          </w:p>
        </w:tc>
        <w:tc>
          <w:tcPr>
            <w:tcW w:w="974" w:type="pct"/>
            <w:vAlign w:val="center"/>
          </w:tcPr>
          <w:p w14:paraId="6AFC26C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19.5</w:t>
            </w:r>
          </w:p>
        </w:tc>
      </w:tr>
      <w:tr w:rsidR="001460F0" w:rsidRPr="00214DA3" w14:paraId="126BC501" w14:textId="77777777" w:rsidTr="00157E06">
        <w:tc>
          <w:tcPr>
            <w:tcW w:w="1295" w:type="pct"/>
            <w:vMerge/>
            <w:vAlign w:val="center"/>
          </w:tcPr>
          <w:p w14:paraId="41D44C4B" w14:textId="77777777" w:rsidR="001460F0" w:rsidRPr="00214DA3" w:rsidRDefault="001460F0" w:rsidP="009E0D55">
            <w:pPr>
              <w:rPr>
                <w:rFonts w:cs="Times New Roman"/>
                <w:color w:val="000000" w:themeColor="text1"/>
                <w:szCs w:val="20"/>
              </w:rPr>
            </w:pPr>
          </w:p>
        </w:tc>
        <w:tc>
          <w:tcPr>
            <w:tcW w:w="1740" w:type="pct"/>
            <w:vAlign w:val="center"/>
          </w:tcPr>
          <w:p w14:paraId="087FC29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Caretaker</w:t>
            </w:r>
          </w:p>
        </w:tc>
        <w:tc>
          <w:tcPr>
            <w:tcW w:w="991" w:type="pct"/>
            <w:vAlign w:val="center"/>
          </w:tcPr>
          <w:p w14:paraId="285929E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71</w:t>
            </w:r>
          </w:p>
        </w:tc>
        <w:tc>
          <w:tcPr>
            <w:tcW w:w="974" w:type="pct"/>
            <w:vAlign w:val="center"/>
          </w:tcPr>
          <w:p w14:paraId="7FA9068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12.0</w:t>
            </w:r>
          </w:p>
        </w:tc>
      </w:tr>
      <w:tr w:rsidR="001460F0" w:rsidRPr="00214DA3" w14:paraId="2BD99CC8" w14:textId="77777777" w:rsidTr="00157E06">
        <w:tc>
          <w:tcPr>
            <w:tcW w:w="1295" w:type="pct"/>
            <w:vMerge/>
            <w:vAlign w:val="center"/>
          </w:tcPr>
          <w:p w14:paraId="4B71831E" w14:textId="77777777" w:rsidR="001460F0" w:rsidRPr="00214DA3" w:rsidRDefault="001460F0" w:rsidP="009E0D55">
            <w:pPr>
              <w:rPr>
                <w:rFonts w:cs="Times New Roman"/>
                <w:color w:val="000000" w:themeColor="text1"/>
                <w:szCs w:val="20"/>
              </w:rPr>
            </w:pPr>
          </w:p>
        </w:tc>
        <w:tc>
          <w:tcPr>
            <w:tcW w:w="1740" w:type="pct"/>
            <w:vAlign w:val="center"/>
          </w:tcPr>
          <w:p w14:paraId="5CBFE1E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Co-owner</w:t>
            </w:r>
          </w:p>
        </w:tc>
        <w:tc>
          <w:tcPr>
            <w:tcW w:w="991" w:type="pct"/>
            <w:vAlign w:val="center"/>
          </w:tcPr>
          <w:p w14:paraId="48492F4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w:t>
            </w:r>
          </w:p>
        </w:tc>
        <w:tc>
          <w:tcPr>
            <w:tcW w:w="974" w:type="pct"/>
            <w:vAlign w:val="center"/>
          </w:tcPr>
          <w:p w14:paraId="3AA6CB7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5.6</w:t>
            </w:r>
          </w:p>
        </w:tc>
      </w:tr>
      <w:tr w:rsidR="001460F0" w:rsidRPr="00214DA3" w14:paraId="559AF1B0" w14:textId="77777777" w:rsidTr="00157E06">
        <w:tc>
          <w:tcPr>
            <w:tcW w:w="1295" w:type="pct"/>
            <w:vMerge w:val="restart"/>
            <w:vAlign w:val="center"/>
          </w:tcPr>
          <w:p w14:paraId="56606FB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Years of experience</w:t>
            </w:r>
          </w:p>
        </w:tc>
        <w:tc>
          <w:tcPr>
            <w:tcW w:w="1740" w:type="pct"/>
            <w:vAlign w:val="center"/>
          </w:tcPr>
          <w:p w14:paraId="4CAB594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&lt;5 years</w:t>
            </w:r>
          </w:p>
        </w:tc>
        <w:tc>
          <w:tcPr>
            <w:tcW w:w="991" w:type="pct"/>
            <w:vAlign w:val="center"/>
          </w:tcPr>
          <w:p w14:paraId="648D252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72</w:t>
            </w:r>
          </w:p>
        </w:tc>
        <w:tc>
          <w:tcPr>
            <w:tcW w:w="974" w:type="pct"/>
            <w:vAlign w:val="center"/>
          </w:tcPr>
          <w:p w14:paraId="15D6342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12.2</w:t>
            </w:r>
          </w:p>
        </w:tc>
      </w:tr>
      <w:tr w:rsidR="001460F0" w:rsidRPr="00214DA3" w14:paraId="23E82709" w14:textId="77777777" w:rsidTr="00157E06">
        <w:tc>
          <w:tcPr>
            <w:tcW w:w="1295" w:type="pct"/>
            <w:vMerge/>
            <w:vAlign w:val="center"/>
          </w:tcPr>
          <w:p w14:paraId="3436D803" w14:textId="77777777" w:rsidR="001460F0" w:rsidRPr="00214DA3" w:rsidRDefault="001460F0" w:rsidP="009E0D55">
            <w:pPr>
              <w:rPr>
                <w:rFonts w:cs="Times New Roman"/>
                <w:color w:val="000000" w:themeColor="text1"/>
                <w:szCs w:val="20"/>
              </w:rPr>
            </w:pPr>
          </w:p>
        </w:tc>
        <w:tc>
          <w:tcPr>
            <w:tcW w:w="1740" w:type="pct"/>
            <w:vAlign w:val="center"/>
          </w:tcPr>
          <w:p w14:paraId="3709B43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5–10 years</w:t>
            </w:r>
          </w:p>
        </w:tc>
        <w:tc>
          <w:tcPr>
            <w:tcW w:w="991" w:type="pct"/>
            <w:vAlign w:val="center"/>
          </w:tcPr>
          <w:p w14:paraId="0A53ACF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66</w:t>
            </w:r>
          </w:p>
        </w:tc>
        <w:tc>
          <w:tcPr>
            <w:tcW w:w="974" w:type="pct"/>
            <w:vAlign w:val="center"/>
          </w:tcPr>
          <w:p w14:paraId="471FA41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11.2</w:t>
            </w:r>
          </w:p>
        </w:tc>
      </w:tr>
      <w:tr w:rsidR="001460F0" w:rsidRPr="00214DA3" w14:paraId="592A4130" w14:textId="77777777" w:rsidTr="00157E06">
        <w:tc>
          <w:tcPr>
            <w:tcW w:w="1295" w:type="pct"/>
            <w:vMerge/>
            <w:vAlign w:val="center"/>
          </w:tcPr>
          <w:p w14:paraId="1C2E3BB8" w14:textId="77777777" w:rsidR="001460F0" w:rsidRPr="00214DA3" w:rsidRDefault="001460F0" w:rsidP="009E0D55">
            <w:pPr>
              <w:rPr>
                <w:rFonts w:cs="Times New Roman"/>
                <w:color w:val="000000" w:themeColor="text1"/>
                <w:szCs w:val="20"/>
              </w:rPr>
            </w:pPr>
          </w:p>
        </w:tc>
        <w:tc>
          <w:tcPr>
            <w:tcW w:w="1740" w:type="pct"/>
            <w:vAlign w:val="center"/>
          </w:tcPr>
          <w:p w14:paraId="34B5C535"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11–20 years</w:t>
            </w:r>
          </w:p>
        </w:tc>
        <w:tc>
          <w:tcPr>
            <w:tcW w:w="991" w:type="pct"/>
            <w:vAlign w:val="center"/>
          </w:tcPr>
          <w:p w14:paraId="3C5B410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109</w:t>
            </w:r>
          </w:p>
        </w:tc>
        <w:tc>
          <w:tcPr>
            <w:tcW w:w="974" w:type="pct"/>
            <w:vAlign w:val="center"/>
          </w:tcPr>
          <w:p w14:paraId="13DB251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18.5</w:t>
            </w:r>
          </w:p>
        </w:tc>
      </w:tr>
      <w:tr w:rsidR="001460F0" w:rsidRPr="00214DA3" w14:paraId="09BF4A23" w14:textId="77777777" w:rsidTr="00157E06">
        <w:tc>
          <w:tcPr>
            <w:tcW w:w="1295" w:type="pct"/>
            <w:vMerge/>
            <w:vAlign w:val="center"/>
          </w:tcPr>
          <w:p w14:paraId="4513AEDF" w14:textId="77777777" w:rsidR="001460F0" w:rsidRPr="00214DA3" w:rsidRDefault="001460F0" w:rsidP="009E0D55">
            <w:pPr>
              <w:rPr>
                <w:rFonts w:cs="Times New Roman"/>
                <w:color w:val="000000" w:themeColor="text1"/>
                <w:szCs w:val="20"/>
              </w:rPr>
            </w:pPr>
          </w:p>
        </w:tc>
        <w:tc>
          <w:tcPr>
            <w:tcW w:w="1740" w:type="pct"/>
            <w:vAlign w:val="center"/>
          </w:tcPr>
          <w:p w14:paraId="1F28721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&gt;20 years</w:t>
            </w:r>
          </w:p>
        </w:tc>
        <w:tc>
          <w:tcPr>
            <w:tcW w:w="991" w:type="pct"/>
            <w:vAlign w:val="center"/>
          </w:tcPr>
          <w:p w14:paraId="6DAD7DF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343</w:t>
            </w:r>
          </w:p>
        </w:tc>
        <w:tc>
          <w:tcPr>
            <w:tcW w:w="974" w:type="pct"/>
            <w:vAlign w:val="center"/>
          </w:tcPr>
          <w:p w14:paraId="33C78ED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58.1</w:t>
            </w:r>
          </w:p>
        </w:tc>
      </w:tr>
      <w:tr w:rsidR="001460F0" w:rsidRPr="00214DA3" w14:paraId="277CF12F" w14:textId="77777777" w:rsidTr="00157E06">
        <w:tc>
          <w:tcPr>
            <w:tcW w:w="1295" w:type="pct"/>
            <w:vMerge w:val="restart"/>
            <w:vAlign w:val="center"/>
          </w:tcPr>
          <w:p w14:paraId="0A8BE281"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Farm size</w:t>
            </w:r>
          </w:p>
        </w:tc>
        <w:tc>
          <w:tcPr>
            <w:tcW w:w="1740" w:type="pct"/>
            <w:vAlign w:val="center"/>
          </w:tcPr>
          <w:p w14:paraId="337D34C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Small</w:t>
            </w:r>
          </w:p>
        </w:tc>
        <w:tc>
          <w:tcPr>
            <w:tcW w:w="991" w:type="pct"/>
            <w:vAlign w:val="center"/>
          </w:tcPr>
          <w:p w14:paraId="655E557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413</w:t>
            </w:r>
          </w:p>
        </w:tc>
        <w:tc>
          <w:tcPr>
            <w:tcW w:w="974" w:type="pct"/>
            <w:vAlign w:val="center"/>
          </w:tcPr>
          <w:p w14:paraId="6F017F4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70.0</w:t>
            </w:r>
          </w:p>
        </w:tc>
      </w:tr>
      <w:tr w:rsidR="001460F0" w:rsidRPr="00214DA3" w14:paraId="310BF9CC" w14:textId="77777777" w:rsidTr="00157E06">
        <w:tc>
          <w:tcPr>
            <w:tcW w:w="1295" w:type="pct"/>
            <w:vMerge/>
            <w:vAlign w:val="center"/>
          </w:tcPr>
          <w:p w14:paraId="7F3D4DA5" w14:textId="77777777" w:rsidR="001460F0" w:rsidRPr="00214DA3" w:rsidRDefault="001460F0" w:rsidP="009E0D55">
            <w:pPr>
              <w:rPr>
                <w:rFonts w:cs="Times New Roman"/>
                <w:color w:val="000000" w:themeColor="text1"/>
                <w:szCs w:val="20"/>
              </w:rPr>
            </w:pPr>
          </w:p>
        </w:tc>
        <w:tc>
          <w:tcPr>
            <w:tcW w:w="1740" w:type="pct"/>
            <w:vAlign w:val="center"/>
          </w:tcPr>
          <w:p w14:paraId="6DD8AE45"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Medium</w:t>
            </w:r>
          </w:p>
        </w:tc>
        <w:tc>
          <w:tcPr>
            <w:tcW w:w="991" w:type="pct"/>
            <w:vAlign w:val="center"/>
          </w:tcPr>
          <w:p w14:paraId="2CA28CA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160</w:t>
            </w:r>
          </w:p>
        </w:tc>
        <w:tc>
          <w:tcPr>
            <w:tcW w:w="974" w:type="pct"/>
            <w:vAlign w:val="center"/>
          </w:tcPr>
          <w:p w14:paraId="72FB62D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27.1</w:t>
            </w:r>
          </w:p>
        </w:tc>
      </w:tr>
      <w:tr w:rsidR="001460F0" w:rsidRPr="00214DA3" w14:paraId="0C371694" w14:textId="77777777" w:rsidTr="00157E06">
        <w:tc>
          <w:tcPr>
            <w:tcW w:w="1295" w:type="pct"/>
            <w:vMerge/>
            <w:vAlign w:val="center"/>
          </w:tcPr>
          <w:p w14:paraId="337ACE5E" w14:textId="77777777" w:rsidR="001460F0" w:rsidRPr="00214DA3" w:rsidRDefault="001460F0" w:rsidP="009E0D55">
            <w:pPr>
              <w:rPr>
                <w:rFonts w:cs="Times New Roman"/>
                <w:color w:val="000000" w:themeColor="text1"/>
                <w:szCs w:val="20"/>
              </w:rPr>
            </w:pPr>
          </w:p>
        </w:tc>
        <w:tc>
          <w:tcPr>
            <w:tcW w:w="1740" w:type="pct"/>
            <w:vAlign w:val="center"/>
          </w:tcPr>
          <w:p w14:paraId="094BBC07"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Large</w:t>
            </w:r>
          </w:p>
        </w:tc>
        <w:tc>
          <w:tcPr>
            <w:tcW w:w="991" w:type="pct"/>
            <w:vAlign w:val="center"/>
          </w:tcPr>
          <w:p w14:paraId="3978FDC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17</w:t>
            </w:r>
          </w:p>
        </w:tc>
        <w:tc>
          <w:tcPr>
            <w:tcW w:w="974" w:type="pct"/>
            <w:vAlign w:val="center"/>
          </w:tcPr>
          <w:p w14:paraId="71ACC60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2.9</w:t>
            </w:r>
          </w:p>
        </w:tc>
      </w:tr>
      <w:tr w:rsidR="001460F0" w:rsidRPr="00214DA3" w14:paraId="0C1234CD" w14:textId="77777777" w:rsidTr="00157E06">
        <w:tc>
          <w:tcPr>
            <w:tcW w:w="1295" w:type="pct"/>
            <w:vMerge w:val="restart"/>
            <w:vAlign w:val="center"/>
          </w:tcPr>
          <w:p w14:paraId="3869D93F"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Type of ownership</w:t>
            </w:r>
          </w:p>
        </w:tc>
        <w:tc>
          <w:tcPr>
            <w:tcW w:w="1740" w:type="pct"/>
          </w:tcPr>
          <w:p w14:paraId="4FC0298A"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Owned</w:t>
            </w:r>
          </w:p>
        </w:tc>
        <w:tc>
          <w:tcPr>
            <w:tcW w:w="991" w:type="pct"/>
          </w:tcPr>
          <w:p w14:paraId="1A06834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407</w:t>
            </w:r>
          </w:p>
        </w:tc>
        <w:tc>
          <w:tcPr>
            <w:tcW w:w="974" w:type="pct"/>
          </w:tcPr>
          <w:p w14:paraId="06E7F79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69.0</w:t>
            </w:r>
          </w:p>
        </w:tc>
      </w:tr>
      <w:tr w:rsidR="001460F0" w:rsidRPr="00214DA3" w14:paraId="35D73FEB" w14:textId="77777777" w:rsidTr="00157E06">
        <w:tc>
          <w:tcPr>
            <w:tcW w:w="1295" w:type="pct"/>
            <w:vMerge/>
            <w:vAlign w:val="center"/>
          </w:tcPr>
          <w:p w14:paraId="318040E4" w14:textId="77777777" w:rsidR="001460F0" w:rsidRPr="00214DA3" w:rsidRDefault="001460F0" w:rsidP="009E0D55">
            <w:pPr>
              <w:rPr>
                <w:rFonts w:cs="Times New Roman"/>
                <w:color w:val="000000" w:themeColor="text1"/>
                <w:szCs w:val="20"/>
              </w:rPr>
            </w:pPr>
          </w:p>
        </w:tc>
        <w:tc>
          <w:tcPr>
            <w:tcW w:w="1740" w:type="pct"/>
          </w:tcPr>
          <w:p w14:paraId="204628F2"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Cooperative</w:t>
            </w:r>
          </w:p>
        </w:tc>
        <w:tc>
          <w:tcPr>
            <w:tcW w:w="991" w:type="pct"/>
          </w:tcPr>
          <w:p w14:paraId="3E9D95A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141</w:t>
            </w:r>
          </w:p>
        </w:tc>
        <w:tc>
          <w:tcPr>
            <w:tcW w:w="974" w:type="pct"/>
          </w:tcPr>
          <w:p w14:paraId="3E82AA9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23.9</w:t>
            </w:r>
          </w:p>
        </w:tc>
      </w:tr>
      <w:tr w:rsidR="001460F0" w:rsidRPr="00214DA3" w14:paraId="625B1AEB" w14:textId="77777777" w:rsidTr="00157E06">
        <w:tc>
          <w:tcPr>
            <w:tcW w:w="1295" w:type="pct"/>
            <w:vMerge/>
            <w:vAlign w:val="center"/>
          </w:tcPr>
          <w:p w14:paraId="1DBBE4C7" w14:textId="77777777" w:rsidR="001460F0" w:rsidRPr="00214DA3" w:rsidRDefault="001460F0" w:rsidP="009E0D55">
            <w:pPr>
              <w:rPr>
                <w:rFonts w:cs="Times New Roman"/>
                <w:color w:val="000000" w:themeColor="text1"/>
                <w:szCs w:val="20"/>
              </w:rPr>
            </w:pPr>
          </w:p>
        </w:tc>
        <w:tc>
          <w:tcPr>
            <w:tcW w:w="1740" w:type="pct"/>
          </w:tcPr>
          <w:p w14:paraId="4C4467EE"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Tenant</w:t>
            </w:r>
          </w:p>
        </w:tc>
        <w:tc>
          <w:tcPr>
            <w:tcW w:w="991" w:type="pct"/>
          </w:tcPr>
          <w:p w14:paraId="7753F3C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40</w:t>
            </w:r>
          </w:p>
        </w:tc>
        <w:tc>
          <w:tcPr>
            <w:tcW w:w="974" w:type="pct"/>
          </w:tcPr>
          <w:p w14:paraId="6ABCA6E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6.8</w:t>
            </w:r>
          </w:p>
        </w:tc>
      </w:tr>
      <w:tr w:rsidR="001460F0" w:rsidRPr="00214DA3" w14:paraId="2EA49EEC" w14:textId="77777777" w:rsidTr="00157E06">
        <w:tc>
          <w:tcPr>
            <w:tcW w:w="1295" w:type="pct"/>
            <w:vMerge/>
            <w:vAlign w:val="center"/>
          </w:tcPr>
          <w:p w14:paraId="5C249C03" w14:textId="77777777" w:rsidR="001460F0" w:rsidRPr="00214DA3" w:rsidRDefault="001460F0" w:rsidP="009E0D55">
            <w:pPr>
              <w:rPr>
                <w:rFonts w:cs="Times New Roman"/>
                <w:color w:val="000000" w:themeColor="text1"/>
                <w:szCs w:val="20"/>
              </w:rPr>
            </w:pPr>
          </w:p>
        </w:tc>
        <w:tc>
          <w:tcPr>
            <w:tcW w:w="1740" w:type="pct"/>
          </w:tcPr>
          <w:p w14:paraId="0381F57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Government</w:t>
            </w:r>
          </w:p>
        </w:tc>
        <w:tc>
          <w:tcPr>
            <w:tcW w:w="991" w:type="pct"/>
          </w:tcPr>
          <w:p w14:paraId="2BB35A1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w:t>
            </w:r>
          </w:p>
        </w:tc>
        <w:tc>
          <w:tcPr>
            <w:tcW w:w="974" w:type="pct"/>
          </w:tcPr>
          <w:p w14:paraId="1A93AEC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0.3</w:t>
            </w:r>
          </w:p>
        </w:tc>
      </w:tr>
    </w:tbl>
    <w:p w14:paraId="4F261084" w14:textId="77777777" w:rsidR="001460F0" w:rsidRPr="00C664C7" w:rsidRDefault="001460F0" w:rsidP="001460F0">
      <w:pPr>
        <w:autoSpaceDE w:val="0"/>
        <w:autoSpaceDN w:val="0"/>
        <w:adjustRightInd w:val="0"/>
        <w:spacing w:after="0" w:line="480" w:lineRule="auto"/>
        <w:jc w:val="both"/>
        <w:rPr>
          <w:rFonts w:cs="Times New Roman"/>
          <w:color w:val="000000" w:themeColor="text1"/>
          <w:szCs w:val="20"/>
        </w:rPr>
      </w:pPr>
    </w:p>
    <w:p w14:paraId="5CF376B9" w14:textId="1F1F96BB" w:rsidR="002F4B8C" w:rsidRPr="00C664C7" w:rsidRDefault="002F4B8C" w:rsidP="001460F0">
      <w:pPr>
        <w:autoSpaceDE w:val="0"/>
        <w:autoSpaceDN w:val="0"/>
        <w:adjustRightInd w:val="0"/>
        <w:spacing w:after="0" w:line="480" w:lineRule="auto"/>
        <w:ind w:firstLine="567"/>
        <w:jc w:val="both"/>
        <w:rPr>
          <w:rFonts w:cs="Times New Roman"/>
          <w:color w:val="000000" w:themeColor="text1"/>
          <w:szCs w:val="20"/>
        </w:rPr>
      </w:pPr>
      <w:r w:rsidRPr="00C664C7">
        <w:rPr>
          <w:rFonts w:cs="Times New Roman"/>
          <w:color w:val="000000" w:themeColor="text1"/>
          <w:szCs w:val="20"/>
        </w:rPr>
        <w:t>Educational attainment was concentrated at the elementary and high school levels. High school graduates formed the largest group (193 or 32.7%)</w:t>
      </w:r>
      <w:r w:rsidR="006C38D8" w:rsidRPr="00C664C7">
        <w:rPr>
          <w:rFonts w:cs="Times New Roman"/>
          <w:color w:val="000000" w:themeColor="text1"/>
          <w:szCs w:val="20"/>
        </w:rPr>
        <w:t xml:space="preserve">. This was </w:t>
      </w:r>
      <w:r w:rsidRPr="00C664C7">
        <w:rPr>
          <w:rFonts w:cs="Times New Roman"/>
          <w:color w:val="000000" w:themeColor="text1"/>
          <w:szCs w:val="20"/>
        </w:rPr>
        <w:t xml:space="preserve">followed by elementary graduates (149 or 25.3%), </w:t>
      </w:r>
      <w:r w:rsidR="0063164E">
        <w:rPr>
          <w:rFonts w:cs="Times New Roman"/>
          <w:color w:val="000000" w:themeColor="text1"/>
          <w:szCs w:val="20"/>
        </w:rPr>
        <w:t xml:space="preserve">respondents with a </w:t>
      </w:r>
      <w:r w:rsidRPr="00C664C7">
        <w:rPr>
          <w:rFonts w:cs="Times New Roman"/>
          <w:color w:val="000000" w:themeColor="text1"/>
          <w:szCs w:val="20"/>
        </w:rPr>
        <w:t>high school</w:t>
      </w:r>
      <w:r w:rsidR="0063164E">
        <w:rPr>
          <w:rFonts w:cs="Times New Roman"/>
          <w:color w:val="000000" w:themeColor="text1"/>
          <w:szCs w:val="20"/>
        </w:rPr>
        <w:t>-</w:t>
      </w:r>
      <w:r w:rsidRPr="00C664C7">
        <w:rPr>
          <w:rFonts w:cs="Times New Roman"/>
          <w:color w:val="000000" w:themeColor="text1"/>
          <w:szCs w:val="20"/>
        </w:rPr>
        <w:t>level</w:t>
      </w:r>
      <w:r w:rsidR="0063164E">
        <w:rPr>
          <w:rFonts w:cs="Times New Roman"/>
          <w:color w:val="000000" w:themeColor="text1"/>
          <w:szCs w:val="20"/>
        </w:rPr>
        <w:t xml:space="preserve"> education</w:t>
      </w:r>
      <w:r w:rsidRPr="00C664C7">
        <w:rPr>
          <w:rFonts w:cs="Times New Roman"/>
          <w:color w:val="000000" w:themeColor="text1"/>
          <w:szCs w:val="20"/>
        </w:rPr>
        <w:t xml:space="preserve"> (80 or 13.6%), </w:t>
      </w:r>
      <w:r w:rsidR="0063164E">
        <w:rPr>
          <w:rFonts w:cs="Times New Roman"/>
          <w:color w:val="000000" w:themeColor="text1"/>
          <w:szCs w:val="20"/>
        </w:rPr>
        <w:t xml:space="preserve">respondents with </w:t>
      </w:r>
      <w:r w:rsidRPr="00C664C7">
        <w:rPr>
          <w:rFonts w:cs="Times New Roman"/>
          <w:color w:val="000000" w:themeColor="text1"/>
          <w:szCs w:val="20"/>
        </w:rPr>
        <w:t>elementary</w:t>
      </w:r>
      <w:r w:rsidR="0063164E">
        <w:rPr>
          <w:rFonts w:cs="Times New Roman"/>
          <w:color w:val="000000" w:themeColor="text1"/>
          <w:szCs w:val="20"/>
        </w:rPr>
        <w:t>-</w:t>
      </w:r>
      <w:r w:rsidRPr="00C664C7">
        <w:rPr>
          <w:rFonts w:cs="Times New Roman"/>
          <w:color w:val="000000" w:themeColor="text1"/>
          <w:szCs w:val="20"/>
        </w:rPr>
        <w:t>level and college</w:t>
      </w:r>
      <w:r w:rsidR="0063164E">
        <w:rPr>
          <w:rFonts w:cs="Times New Roman"/>
          <w:color w:val="000000" w:themeColor="text1"/>
          <w:szCs w:val="20"/>
        </w:rPr>
        <w:t>-</w:t>
      </w:r>
      <w:r w:rsidRPr="00C664C7">
        <w:rPr>
          <w:rFonts w:cs="Times New Roman"/>
          <w:color w:val="000000" w:themeColor="text1"/>
          <w:szCs w:val="20"/>
        </w:rPr>
        <w:t xml:space="preserve">level </w:t>
      </w:r>
      <w:r w:rsidR="0063164E">
        <w:rPr>
          <w:rFonts w:cs="Times New Roman"/>
          <w:color w:val="000000" w:themeColor="text1"/>
          <w:szCs w:val="20"/>
        </w:rPr>
        <w:t>education</w:t>
      </w:r>
      <w:r w:rsidR="0063164E" w:rsidRPr="00C664C7">
        <w:rPr>
          <w:rFonts w:cs="Times New Roman"/>
          <w:color w:val="000000" w:themeColor="text1"/>
          <w:szCs w:val="20"/>
        </w:rPr>
        <w:t xml:space="preserve"> </w:t>
      </w:r>
      <w:r w:rsidRPr="00C664C7">
        <w:rPr>
          <w:rFonts w:cs="Times New Roman"/>
          <w:color w:val="000000" w:themeColor="text1"/>
          <w:szCs w:val="20"/>
        </w:rPr>
        <w:t xml:space="preserve">(60 or 10.2% each), and college graduates (45 or 7.6%). Only one respondent reported postgraduate education, while two reported </w:t>
      </w:r>
      <w:r w:rsidR="0023386A" w:rsidRPr="00C664C7">
        <w:rPr>
          <w:rFonts w:cs="Times New Roman"/>
          <w:color w:val="000000" w:themeColor="text1"/>
          <w:szCs w:val="20"/>
        </w:rPr>
        <w:t xml:space="preserve">having </w:t>
      </w:r>
      <w:r w:rsidRPr="00C664C7">
        <w:rPr>
          <w:rFonts w:cs="Times New Roman"/>
          <w:color w:val="000000" w:themeColor="text1"/>
          <w:szCs w:val="20"/>
        </w:rPr>
        <w:t>vocational training. These results indicate that most respondents had basic to secondary-level education</w:t>
      </w:r>
      <w:r w:rsidR="0023386A" w:rsidRPr="00C664C7">
        <w:rPr>
          <w:rFonts w:cs="Times New Roman"/>
          <w:color w:val="000000" w:themeColor="text1"/>
          <w:szCs w:val="20"/>
        </w:rPr>
        <w:t>,</w:t>
      </w:r>
      <w:r w:rsidRPr="00C664C7">
        <w:rPr>
          <w:rFonts w:cs="Times New Roman"/>
          <w:color w:val="000000" w:themeColor="text1"/>
          <w:szCs w:val="20"/>
        </w:rPr>
        <w:t xml:space="preserve"> which may reflect the experiential and practice-based nature of salt-making knowledge in the surveyed communities.</w:t>
      </w:r>
    </w:p>
    <w:p w14:paraId="5F37D60C" w14:textId="4DDAC893" w:rsidR="0023386A" w:rsidRPr="00C664C7" w:rsidRDefault="002F4B8C" w:rsidP="00193DD3">
      <w:pPr>
        <w:autoSpaceDE w:val="0"/>
        <w:autoSpaceDN w:val="0"/>
        <w:adjustRightInd w:val="0"/>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Among </w:t>
      </w:r>
      <w:r w:rsidR="0023386A" w:rsidRPr="00C664C7">
        <w:rPr>
          <w:rFonts w:cs="Times New Roman"/>
          <w:color w:val="000000" w:themeColor="text1"/>
          <w:szCs w:val="20"/>
        </w:rPr>
        <w:t xml:space="preserve">the </w:t>
      </w:r>
      <w:r w:rsidRPr="00C664C7">
        <w:rPr>
          <w:rFonts w:cs="Times New Roman"/>
          <w:color w:val="000000" w:themeColor="text1"/>
          <w:szCs w:val="20"/>
        </w:rPr>
        <w:t xml:space="preserve">respondents, owners comprised the largest group (193 or 32.7%), followed closely by renters (178 or 30.2%). Laborers accounted for 115 respondents (19.5%), caretakers for 71 (12.0%), and co-owners for 33 (5.6%). </w:t>
      </w:r>
      <w:r w:rsidR="0023386A" w:rsidRPr="00C664C7">
        <w:rPr>
          <w:rFonts w:cs="Times New Roman"/>
          <w:color w:val="000000" w:themeColor="text1"/>
          <w:szCs w:val="20"/>
        </w:rPr>
        <w:t xml:space="preserve">Since </w:t>
      </w:r>
      <w:r w:rsidRPr="00C664C7">
        <w:rPr>
          <w:rFonts w:cs="Times New Roman"/>
          <w:color w:val="000000" w:themeColor="text1"/>
          <w:szCs w:val="20"/>
        </w:rPr>
        <w:t>these categories encompass both land-access arrangements and operational roles, they are interpreted as position</w:t>
      </w:r>
      <w:r w:rsidR="000D3CE0" w:rsidRPr="00C664C7">
        <w:rPr>
          <w:rFonts w:cs="Times New Roman"/>
          <w:color w:val="000000" w:themeColor="text1"/>
          <w:szCs w:val="20"/>
        </w:rPr>
        <w:t>s</w:t>
      </w:r>
      <w:r w:rsidRPr="00C664C7">
        <w:rPr>
          <w:rFonts w:cs="Times New Roman"/>
          <w:color w:val="000000" w:themeColor="text1"/>
          <w:szCs w:val="20"/>
        </w:rPr>
        <w:t xml:space="preserve"> or role</w:t>
      </w:r>
      <w:r w:rsidR="000D3CE0" w:rsidRPr="00C664C7">
        <w:rPr>
          <w:rFonts w:cs="Times New Roman"/>
          <w:color w:val="000000" w:themeColor="text1"/>
          <w:szCs w:val="20"/>
        </w:rPr>
        <w:t>s</w:t>
      </w:r>
      <w:r w:rsidRPr="00C664C7">
        <w:rPr>
          <w:rFonts w:cs="Times New Roman"/>
          <w:color w:val="000000" w:themeColor="text1"/>
          <w:szCs w:val="20"/>
        </w:rPr>
        <w:t xml:space="preserve"> </w:t>
      </w:r>
      <w:r w:rsidR="00F739FA" w:rsidRPr="00C664C7">
        <w:rPr>
          <w:rFonts w:cs="Times New Roman"/>
          <w:color w:val="000000" w:themeColor="text1"/>
          <w:szCs w:val="20"/>
        </w:rPr>
        <w:t>of the respondents r</w:t>
      </w:r>
      <w:r w:rsidRPr="00C664C7">
        <w:rPr>
          <w:rFonts w:cs="Times New Roman"/>
          <w:color w:val="000000" w:themeColor="text1"/>
          <w:szCs w:val="20"/>
        </w:rPr>
        <w:t xml:space="preserve">ather than as a strict land-tenure </w:t>
      </w:r>
      <w:r w:rsidR="0023386A" w:rsidRPr="00C664C7">
        <w:rPr>
          <w:rFonts w:cs="Times New Roman"/>
          <w:color w:val="000000" w:themeColor="text1"/>
          <w:szCs w:val="20"/>
        </w:rPr>
        <w:t>classification</w:t>
      </w:r>
      <w:r w:rsidRPr="00C664C7">
        <w:rPr>
          <w:rFonts w:cs="Times New Roman"/>
          <w:color w:val="000000" w:themeColor="text1"/>
          <w:szCs w:val="20"/>
        </w:rPr>
        <w:t xml:space="preserve">. </w:t>
      </w:r>
    </w:p>
    <w:p w14:paraId="031E72A0" w14:textId="72327845" w:rsidR="002F4B8C" w:rsidRPr="00C664C7" w:rsidRDefault="0063164E" w:rsidP="00193DD3">
      <w:pPr>
        <w:autoSpaceDE w:val="0"/>
        <w:autoSpaceDN w:val="0"/>
        <w:adjustRightInd w:val="0"/>
        <w:spacing w:after="0" w:line="480" w:lineRule="auto"/>
        <w:ind w:firstLine="567"/>
        <w:jc w:val="both"/>
        <w:rPr>
          <w:rFonts w:cs="Times New Roman"/>
          <w:color w:val="000000" w:themeColor="text1"/>
          <w:szCs w:val="20"/>
        </w:rPr>
      </w:pPr>
      <w:r>
        <w:rPr>
          <w:rFonts w:cs="Times New Roman"/>
          <w:color w:val="000000" w:themeColor="text1"/>
          <w:szCs w:val="20"/>
        </w:rPr>
        <w:t>The r</w:t>
      </w:r>
      <w:r w:rsidR="00F739FA" w:rsidRPr="00C664C7">
        <w:rPr>
          <w:rFonts w:cs="Times New Roman"/>
          <w:color w:val="000000" w:themeColor="text1"/>
          <w:szCs w:val="20"/>
        </w:rPr>
        <w:t>esults also revealed</w:t>
      </w:r>
      <w:r w:rsidRPr="00C664C7">
        <w:rPr>
          <w:rFonts w:cs="Times New Roman"/>
          <w:color w:val="000000" w:themeColor="text1"/>
          <w:szCs w:val="20"/>
        </w:rPr>
        <w:t xml:space="preserve"> </w:t>
      </w:r>
      <w:r>
        <w:rPr>
          <w:rFonts w:cs="Times New Roman"/>
          <w:color w:val="000000" w:themeColor="text1"/>
          <w:szCs w:val="20"/>
        </w:rPr>
        <w:t xml:space="preserve">that </w:t>
      </w:r>
      <w:r w:rsidRPr="00C664C7">
        <w:rPr>
          <w:rFonts w:cs="Times New Roman"/>
          <w:color w:val="000000" w:themeColor="text1"/>
          <w:szCs w:val="20"/>
        </w:rPr>
        <w:t>respondents</w:t>
      </w:r>
      <w:r w:rsidR="00F739FA" w:rsidRPr="00C664C7">
        <w:rPr>
          <w:rFonts w:cs="Times New Roman"/>
          <w:color w:val="000000" w:themeColor="text1"/>
          <w:szCs w:val="20"/>
        </w:rPr>
        <w:t xml:space="preserve"> </w:t>
      </w:r>
      <w:r>
        <w:rPr>
          <w:rFonts w:cs="Times New Roman"/>
          <w:color w:val="000000" w:themeColor="text1"/>
          <w:szCs w:val="20"/>
        </w:rPr>
        <w:t>had extensive</w:t>
      </w:r>
      <w:r w:rsidRPr="00C664C7">
        <w:rPr>
          <w:rFonts w:cs="Times New Roman"/>
          <w:color w:val="000000" w:themeColor="text1"/>
          <w:szCs w:val="20"/>
        </w:rPr>
        <w:t xml:space="preserve"> experience</w:t>
      </w:r>
      <w:r>
        <w:rPr>
          <w:rFonts w:cs="Times New Roman"/>
          <w:color w:val="000000" w:themeColor="text1"/>
          <w:szCs w:val="20"/>
        </w:rPr>
        <w:t xml:space="preserve"> in </w:t>
      </w:r>
      <w:r w:rsidR="00F739FA" w:rsidRPr="00C664C7">
        <w:rPr>
          <w:rFonts w:cs="Times New Roman"/>
          <w:color w:val="000000" w:themeColor="text1"/>
          <w:szCs w:val="20"/>
        </w:rPr>
        <w:t>s</w:t>
      </w:r>
      <w:r w:rsidR="002F4B8C" w:rsidRPr="00C664C7">
        <w:rPr>
          <w:rFonts w:cs="Times New Roman"/>
          <w:color w:val="000000" w:themeColor="text1"/>
          <w:szCs w:val="20"/>
        </w:rPr>
        <w:t>alt-making. More than half (343 or 58.1%) had more than 20 years of experience in the salt industry, 109 (18.5%) had 11–20 years, 66 (11.2%) had 5–10 years, and 72 (12.2%) had less than five years of experience. This confirms that salt production in the surveyed provinces is largely sustained by experienced producers</w:t>
      </w:r>
      <w:r w:rsidR="00F739FA" w:rsidRPr="00C664C7">
        <w:rPr>
          <w:rFonts w:cs="Times New Roman"/>
          <w:color w:val="000000" w:themeColor="text1"/>
          <w:szCs w:val="20"/>
        </w:rPr>
        <w:t xml:space="preserve">. </w:t>
      </w:r>
      <w:r w:rsidR="00BF4A1B" w:rsidRPr="00C664C7">
        <w:rPr>
          <w:rFonts w:cs="Times New Roman"/>
          <w:color w:val="000000" w:themeColor="text1"/>
          <w:szCs w:val="20"/>
        </w:rPr>
        <w:t>T</w:t>
      </w:r>
      <w:r w:rsidR="002F4B8C" w:rsidRPr="00C664C7">
        <w:rPr>
          <w:rFonts w:cs="Times New Roman"/>
          <w:color w:val="000000" w:themeColor="text1"/>
          <w:szCs w:val="20"/>
        </w:rPr>
        <w:t xml:space="preserve">he low proportion of younger and newer entrants may </w:t>
      </w:r>
      <w:r w:rsidR="00BF4A1B" w:rsidRPr="00C664C7">
        <w:rPr>
          <w:rFonts w:cs="Times New Roman"/>
          <w:color w:val="000000" w:themeColor="text1"/>
          <w:szCs w:val="20"/>
        </w:rPr>
        <w:t xml:space="preserve">also </w:t>
      </w:r>
      <w:r w:rsidR="002F4B8C" w:rsidRPr="00C664C7">
        <w:rPr>
          <w:rFonts w:cs="Times New Roman"/>
          <w:color w:val="000000" w:themeColor="text1"/>
          <w:szCs w:val="20"/>
        </w:rPr>
        <w:t xml:space="preserve">indicate challenges in </w:t>
      </w:r>
      <w:r>
        <w:rPr>
          <w:rFonts w:cs="Times New Roman"/>
          <w:color w:val="000000" w:themeColor="text1"/>
          <w:szCs w:val="20"/>
        </w:rPr>
        <w:t xml:space="preserve">ensuring the </w:t>
      </w:r>
      <w:r w:rsidR="002F4B8C" w:rsidRPr="00C664C7">
        <w:rPr>
          <w:rFonts w:cs="Times New Roman"/>
          <w:color w:val="000000" w:themeColor="text1"/>
          <w:szCs w:val="20"/>
        </w:rPr>
        <w:t>intergenerational continuity</w:t>
      </w:r>
      <w:r w:rsidR="00BF4A1B" w:rsidRPr="00C664C7">
        <w:rPr>
          <w:rFonts w:cs="Times New Roman"/>
          <w:color w:val="000000" w:themeColor="text1"/>
          <w:szCs w:val="20"/>
        </w:rPr>
        <w:t xml:space="preserve"> of the salt industry</w:t>
      </w:r>
      <w:r w:rsidR="002F4B8C" w:rsidRPr="00C664C7">
        <w:rPr>
          <w:rFonts w:cs="Times New Roman"/>
          <w:color w:val="000000" w:themeColor="text1"/>
          <w:szCs w:val="20"/>
        </w:rPr>
        <w:t>.</w:t>
      </w:r>
    </w:p>
    <w:p w14:paraId="0224ABA7" w14:textId="3B6B9A3B" w:rsidR="002F4B8C" w:rsidRPr="00C664C7" w:rsidRDefault="007657FE" w:rsidP="00193DD3">
      <w:pPr>
        <w:autoSpaceDE w:val="0"/>
        <w:autoSpaceDN w:val="0"/>
        <w:adjustRightInd w:val="0"/>
        <w:spacing w:after="0" w:line="480" w:lineRule="auto"/>
        <w:ind w:firstLine="567"/>
        <w:jc w:val="both"/>
        <w:rPr>
          <w:rFonts w:cs="Times New Roman"/>
          <w:color w:val="000000" w:themeColor="text1"/>
          <w:szCs w:val="20"/>
        </w:rPr>
      </w:pPr>
      <w:r w:rsidRPr="00C664C7">
        <w:rPr>
          <w:rFonts w:cs="Times New Roman"/>
          <w:color w:val="000000" w:themeColor="text1"/>
          <w:szCs w:val="20"/>
        </w:rPr>
        <w:t>Furthermore, the f</w:t>
      </w:r>
      <w:r w:rsidR="002F4B8C" w:rsidRPr="00C664C7">
        <w:rPr>
          <w:rFonts w:cs="Times New Roman"/>
          <w:color w:val="000000" w:themeColor="text1"/>
          <w:szCs w:val="20"/>
        </w:rPr>
        <w:t xml:space="preserve">arm and ownership characteristics underscore the dominance of small-scale, privately owned production arrangements. Small farms accounted for 413 respondents (70.0%), followed by medium farms (160, 27.1%) and large farms (17, 2.9%). In terms of ownership type, most respondents were associated with </w:t>
      </w:r>
      <w:r w:rsidR="0063164E">
        <w:rPr>
          <w:rFonts w:cs="Times New Roman"/>
          <w:color w:val="000000" w:themeColor="text1"/>
          <w:szCs w:val="20"/>
        </w:rPr>
        <w:t xml:space="preserve">privately </w:t>
      </w:r>
      <w:r w:rsidR="002F4B8C" w:rsidRPr="00C664C7">
        <w:rPr>
          <w:rFonts w:cs="Times New Roman"/>
          <w:color w:val="000000" w:themeColor="text1"/>
          <w:szCs w:val="20"/>
        </w:rPr>
        <w:t>owned farms (407, 69.0%), followed by cooperative-based operations (141, 23.9%), tenant arrangements (40, 6.8%), and government-owned areas (2, 0.3%). These patterns suggest that the surveyed salt industry remains largely small-scale and locally managed, with cooperative arrangements also playing an important role in selected production areas.</w:t>
      </w:r>
    </w:p>
    <w:p w14:paraId="02989C0D" w14:textId="0A974D00" w:rsidR="00AA1700" w:rsidRPr="00C664C7" w:rsidRDefault="00000000" w:rsidP="00E0583C">
      <w:pPr>
        <w:pStyle w:val="Heading2"/>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 xml:space="preserve">Production </w:t>
      </w:r>
      <w:r w:rsidR="00E0583C" w:rsidRPr="00C664C7">
        <w:rPr>
          <w:rFonts w:ascii="Times New Roman" w:hAnsi="Times New Roman" w:cs="Times New Roman"/>
          <w:color w:val="000000" w:themeColor="text1"/>
          <w:sz w:val="20"/>
          <w:szCs w:val="20"/>
        </w:rPr>
        <w:t xml:space="preserve">Systems </w:t>
      </w:r>
      <w:r w:rsidR="00E0583C">
        <w:rPr>
          <w:rFonts w:ascii="Times New Roman" w:hAnsi="Times New Roman" w:cs="Times New Roman"/>
          <w:color w:val="000000" w:themeColor="text1"/>
          <w:sz w:val="20"/>
          <w:szCs w:val="20"/>
        </w:rPr>
        <w:t>a</w:t>
      </w:r>
      <w:r w:rsidR="00E0583C" w:rsidRPr="00C664C7">
        <w:rPr>
          <w:rFonts w:ascii="Times New Roman" w:hAnsi="Times New Roman" w:cs="Times New Roman"/>
          <w:color w:val="000000" w:themeColor="text1"/>
          <w:sz w:val="20"/>
          <w:szCs w:val="20"/>
        </w:rPr>
        <w:t>nd Post-Harvest Practices</w:t>
      </w:r>
    </w:p>
    <w:p w14:paraId="33A742FD" w14:textId="59C46F6B" w:rsidR="00AA1700" w:rsidRDefault="00B276C3" w:rsidP="001460F0">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The study classified salt production systems into two primary categories: solar evaporation and cooking-based methods (Table 3). </w:t>
      </w:r>
      <w:r w:rsidR="0062243F" w:rsidRPr="00C664C7">
        <w:rPr>
          <w:rFonts w:cs="Times New Roman"/>
          <w:color w:val="000000" w:themeColor="text1"/>
          <w:szCs w:val="20"/>
        </w:rPr>
        <w:t xml:space="preserve">Solar evaporation was the dominant system, accounting for 465 respondents (78.8% of the total). Of these, 445 respondents used conventional solar beds or platforms, while 20 used HDPE-lined crystallization beds. </w:t>
      </w:r>
      <w:r w:rsidRPr="00C664C7">
        <w:rPr>
          <w:rFonts w:cs="Times New Roman"/>
          <w:color w:val="000000" w:themeColor="text1"/>
          <w:szCs w:val="20"/>
        </w:rPr>
        <w:t>The c</w:t>
      </w:r>
      <w:r w:rsidR="0062243F" w:rsidRPr="00C664C7">
        <w:rPr>
          <w:rFonts w:cs="Times New Roman"/>
          <w:color w:val="000000" w:themeColor="text1"/>
          <w:szCs w:val="20"/>
        </w:rPr>
        <w:t xml:space="preserve">ooking-based production </w:t>
      </w:r>
      <w:r w:rsidRPr="00C664C7">
        <w:rPr>
          <w:rFonts w:cs="Times New Roman"/>
          <w:color w:val="000000" w:themeColor="text1"/>
          <w:szCs w:val="20"/>
        </w:rPr>
        <w:t xml:space="preserve">method </w:t>
      </w:r>
      <w:r w:rsidR="0062243F" w:rsidRPr="00C664C7">
        <w:rPr>
          <w:rFonts w:cs="Times New Roman"/>
          <w:color w:val="000000" w:themeColor="text1"/>
          <w:szCs w:val="20"/>
        </w:rPr>
        <w:t>accounted for 125 respondents (21.2%).</w:t>
      </w:r>
    </w:p>
    <w:p w14:paraId="42909DFB" w14:textId="77777777" w:rsidR="001460F0" w:rsidRPr="00157E06" w:rsidRDefault="001460F0" w:rsidP="00F4763B">
      <w:pPr>
        <w:spacing w:after="0" w:line="480" w:lineRule="auto"/>
        <w:rPr>
          <w:rFonts w:cs="Times New Roman"/>
          <w:color w:val="000000" w:themeColor="text1"/>
          <w:sz w:val="18"/>
          <w:szCs w:val="18"/>
        </w:rPr>
      </w:pPr>
      <w:r w:rsidRPr="00157E06">
        <w:rPr>
          <w:rFonts w:cs="Times New Roman"/>
          <w:b/>
          <w:color w:val="000000" w:themeColor="text1"/>
          <w:sz w:val="18"/>
          <w:szCs w:val="18"/>
        </w:rPr>
        <w:t xml:space="preserve">Table 3. </w:t>
      </w:r>
      <w:r w:rsidRPr="00157E06">
        <w:rPr>
          <w:rFonts w:cs="Times New Roman"/>
          <w:bCs/>
          <w:color w:val="000000" w:themeColor="text1"/>
          <w:sz w:val="18"/>
          <w:szCs w:val="18"/>
        </w:rPr>
        <w:t>Documented salt production systems and crystallization-bed/lining material in selected salt-producing provinces.</w:t>
      </w:r>
    </w:p>
    <w:tbl>
      <w:tblPr>
        <w:tblStyle w:val="TableGrid"/>
        <w:tblW w:w="0" w:type="auto"/>
        <w:tblLook w:val="04A0" w:firstRow="1" w:lastRow="0" w:firstColumn="1" w:lastColumn="0" w:noHBand="0" w:noVBand="1"/>
      </w:tblPr>
      <w:tblGrid>
        <w:gridCol w:w="2106"/>
        <w:gridCol w:w="1834"/>
        <w:gridCol w:w="1449"/>
        <w:gridCol w:w="1380"/>
        <w:gridCol w:w="1419"/>
        <w:gridCol w:w="828"/>
      </w:tblGrid>
      <w:tr w:rsidR="001460F0" w:rsidRPr="00214DA3" w14:paraId="0A7785A2" w14:textId="77777777" w:rsidTr="009E0D55">
        <w:tc>
          <w:tcPr>
            <w:tcW w:w="2515" w:type="dxa"/>
            <w:vMerge w:val="restart"/>
          </w:tcPr>
          <w:p w14:paraId="41097DA0"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Province</w:t>
            </w:r>
          </w:p>
        </w:tc>
        <w:tc>
          <w:tcPr>
            <w:tcW w:w="3690" w:type="dxa"/>
            <w:gridSpan w:val="2"/>
          </w:tcPr>
          <w:p w14:paraId="24253BFE"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 xml:space="preserve">Solar Evaporation </w:t>
            </w:r>
          </w:p>
        </w:tc>
        <w:tc>
          <w:tcPr>
            <w:tcW w:w="1440" w:type="dxa"/>
            <w:vMerge w:val="restart"/>
          </w:tcPr>
          <w:p w14:paraId="437B4315"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Total solar evaporation</w:t>
            </w:r>
          </w:p>
        </w:tc>
        <w:tc>
          <w:tcPr>
            <w:tcW w:w="1530" w:type="dxa"/>
            <w:vMerge w:val="restart"/>
          </w:tcPr>
          <w:p w14:paraId="6AC9653A"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Cooking-based production</w:t>
            </w:r>
          </w:p>
        </w:tc>
        <w:tc>
          <w:tcPr>
            <w:tcW w:w="895" w:type="dxa"/>
            <w:vMerge w:val="restart"/>
          </w:tcPr>
          <w:p w14:paraId="4B3D51CA"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Total</w:t>
            </w:r>
          </w:p>
        </w:tc>
      </w:tr>
      <w:tr w:rsidR="001460F0" w:rsidRPr="00214DA3" w14:paraId="0A269398" w14:textId="77777777" w:rsidTr="009E0D55">
        <w:tc>
          <w:tcPr>
            <w:tcW w:w="2515" w:type="dxa"/>
            <w:vMerge/>
          </w:tcPr>
          <w:p w14:paraId="264E43C3" w14:textId="77777777" w:rsidR="001460F0" w:rsidRPr="00214DA3" w:rsidRDefault="001460F0" w:rsidP="009E0D55">
            <w:pPr>
              <w:jc w:val="center"/>
              <w:rPr>
                <w:rFonts w:cs="Times New Roman"/>
                <w:b/>
                <w:color w:val="000000" w:themeColor="text1"/>
                <w:szCs w:val="20"/>
              </w:rPr>
            </w:pPr>
          </w:p>
        </w:tc>
        <w:tc>
          <w:tcPr>
            <w:tcW w:w="1980" w:type="dxa"/>
          </w:tcPr>
          <w:p w14:paraId="238A5440" w14:textId="77777777" w:rsidR="001460F0" w:rsidRPr="00214DA3" w:rsidRDefault="001460F0" w:rsidP="009E0D55">
            <w:pPr>
              <w:jc w:val="center"/>
              <w:rPr>
                <w:rFonts w:cs="Times New Roman"/>
                <w:b/>
                <w:color w:val="000000" w:themeColor="text1"/>
                <w:szCs w:val="20"/>
              </w:rPr>
            </w:pPr>
            <w:r w:rsidRPr="00214DA3">
              <w:rPr>
                <w:rFonts w:cs="Times New Roman"/>
                <w:b/>
                <w:color w:val="000000" w:themeColor="text1"/>
                <w:szCs w:val="20"/>
              </w:rPr>
              <w:t>Conventional beds/platforms</w:t>
            </w:r>
          </w:p>
        </w:tc>
        <w:tc>
          <w:tcPr>
            <w:tcW w:w="1710" w:type="dxa"/>
          </w:tcPr>
          <w:p w14:paraId="0CCEEEE0" w14:textId="77777777" w:rsidR="001460F0" w:rsidRPr="00214DA3" w:rsidRDefault="001460F0" w:rsidP="009E0D55">
            <w:pPr>
              <w:jc w:val="center"/>
              <w:rPr>
                <w:rFonts w:cs="Times New Roman"/>
                <w:b/>
                <w:color w:val="000000" w:themeColor="text1"/>
                <w:szCs w:val="20"/>
              </w:rPr>
            </w:pPr>
            <w:r w:rsidRPr="00214DA3">
              <w:rPr>
                <w:rFonts w:cs="Times New Roman"/>
                <w:b/>
                <w:color w:val="000000" w:themeColor="text1"/>
                <w:szCs w:val="20"/>
              </w:rPr>
              <w:t>HDPE-lined beds</w:t>
            </w:r>
          </w:p>
        </w:tc>
        <w:tc>
          <w:tcPr>
            <w:tcW w:w="1440" w:type="dxa"/>
            <w:vMerge/>
          </w:tcPr>
          <w:p w14:paraId="79AEAFC2" w14:textId="77777777" w:rsidR="001460F0" w:rsidRPr="00214DA3" w:rsidRDefault="001460F0" w:rsidP="009E0D55">
            <w:pPr>
              <w:jc w:val="center"/>
              <w:rPr>
                <w:rFonts w:cs="Times New Roman"/>
                <w:b/>
                <w:color w:val="000000" w:themeColor="text1"/>
                <w:szCs w:val="20"/>
              </w:rPr>
            </w:pPr>
          </w:p>
        </w:tc>
        <w:tc>
          <w:tcPr>
            <w:tcW w:w="1530" w:type="dxa"/>
            <w:vMerge/>
          </w:tcPr>
          <w:p w14:paraId="3D99A202" w14:textId="77777777" w:rsidR="001460F0" w:rsidRPr="00214DA3" w:rsidRDefault="001460F0" w:rsidP="009E0D55">
            <w:pPr>
              <w:jc w:val="center"/>
              <w:rPr>
                <w:rFonts w:cs="Times New Roman"/>
                <w:b/>
                <w:color w:val="000000" w:themeColor="text1"/>
                <w:szCs w:val="20"/>
              </w:rPr>
            </w:pPr>
          </w:p>
        </w:tc>
        <w:tc>
          <w:tcPr>
            <w:tcW w:w="895" w:type="dxa"/>
            <w:vMerge/>
          </w:tcPr>
          <w:p w14:paraId="49E8FC5F" w14:textId="77777777" w:rsidR="001460F0" w:rsidRPr="00214DA3" w:rsidRDefault="001460F0" w:rsidP="009E0D55">
            <w:pPr>
              <w:jc w:val="center"/>
              <w:rPr>
                <w:rFonts w:cs="Times New Roman"/>
                <w:b/>
                <w:color w:val="000000" w:themeColor="text1"/>
                <w:szCs w:val="20"/>
              </w:rPr>
            </w:pPr>
          </w:p>
        </w:tc>
      </w:tr>
      <w:tr w:rsidR="001460F0" w:rsidRPr="00214DA3" w14:paraId="6F2532EF" w14:textId="77777777" w:rsidTr="009E0D55">
        <w:tc>
          <w:tcPr>
            <w:tcW w:w="2515" w:type="dxa"/>
          </w:tcPr>
          <w:p w14:paraId="04F8E1D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Ilocos Norte</w:t>
            </w:r>
          </w:p>
        </w:tc>
        <w:tc>
          <w:tcPr>
            <w:tcW w:w="1980" w:type="dxa"/>
          </w:tcPr>
          <w:p w14:paraId="5AFCFB1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710" w:type="dxa"/>
          </w:tcPr>
          <w:p w14:paraId="3638FF6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440" w:type="dxa"/>
          </w:tcPr>
          <w:p w14:paraId="43AB547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530" w:type="dxa"/>
          </w:tcPr>
          <w:p w14:paraId="1ED4DDC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w:t>
            </w:r>
          </w:p>
        </w:tc>
        <w:tc>
          <w:tcPr>
            <w:tcW w:w="895" w:type="dxa"/>
          </w:tcPr>
          <w:p w14:paraId="674C249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w:t>
            </w:r>
          </w:p>
        </w:tc>
      </w:tr>
      <w:tr w:rsidR="001460F0" w:rsidRPr="00214DA3" w14:paraId="5A99EC49" w14:textId="77777777" w:rsidTr="009E0D55">
        <w:tc>
          <w:tcPr>
            <w:tcW w:w="2515" w:type="dxa"/>
          </w:tcPr>
          <w:p w14:paraId="011FF8D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Ilocos Sur</w:t>
            </w:r>
          </w:p>
        </w:tc>
        <w:tc>
          <w:tcPr>
            <w:tcW w:w="1980" w:type="dxa"/>
          </w:tcPr>
          <w:p w14:paraId="429AB11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710" w:type="dxa"/>
          </w:tcPr>
          <w:p w14:paraId="4389914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w:t>
            </w:r>
          </w:p>
        </w:tc>
        <w:tc>
          <w:tcPr>
            <w:tcW w:w="1440" w:type="dxa"/>
          </w:tcPr>
          <w:p w14:paraId="0F97641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w:t>
            </w:r>
          </w:p>
        </w:tc>
        <w:tc>
          <w:tcPr>
            <w:tcW w:w="1530" w:type="dxa"/>
          </w:tcPr>
          <w:p w14:paraId="3DE8175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53</w:t>
            </w:r>
          </w:p>
        </w:tc>
        <w:tc>
          <w:tcPr>
            <w:tcW w:w="895" w:type="dxa"/>
          </w:tcPr>
          <w:p w14:paraId="0BD3E23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54</w:t>
            </w:r>
          </w:p>
        </w:tc>
      </w:tr>
      <w:tr w:rsidR="001460F0" w:rsidRPr="00214DA3" w14:paraId="5028F8BC" w14:textId="77777777" w:rsidTr="009E0D55">
        <w:tc>
          <w:tcPr>
            <w:tcW w:w="2515" w:type="dxa"/>
          </w:tcPr>
          <w:p w14:paraId="5E0A8EF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La Union</w:t>
            </w:r>
          </w:p>
        </w:tc>
        <w:tc>
          <w:tcPr>
            <w:tcW w:w="1980" w:type="dxa"/>
          </w:tcPr>
          <w:p w14:paraId="561BDA3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710" w:type="dxa"/>
          </w:tcPr>
          <w:p w14:paraId="058F888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15</w:t>
            </w:r>
          </w:p>
        </w:tc>
        <w:tc>
          <w:tcPr>
            <w:tcW w:w="1440" w:type="dxa"/>
          </w:tcPr>
          <w:p w14:paraId="6E75C2B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15</w:t>
            </w:r>
          </w:p>
        </w:tc>
        <w:tc>
          <w:tcPr>
            <w:tcW w:w="1530" w:type="dxa"/>
          </w:tcPr>
          <w:p w14:paraId="36BBC33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w:t>
            </w:r>
          </w:p>
        </w:tc>
        <w:tc>
          <w:tcPr>
            <w:tcW w:w="895" w:type="dxa"/>
          </w:tcPr>
          <w:p w14:paraId="5C3DF69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20</w:t>
            </w:r>
          </w:p>
        </w:tc>
      </w:tr>
      <w:tr w:rsidR="001460F0" w:rsidRPr="00214DA3" w14:paraId="4C37DEDA" w14:textId="77777777" w:rsidTr="009E0D55">
        <w:tc>
          <w:tcPr>
            <w:tcW w:w="2515" w:type="dxa"/>
          </w:tcPr>
          <w:p w14:paraId="4EDB18E4"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Pangasinan</w:t>
            </w:r>
          </w:p>
        </w:tc>
        <w:tc>
          <w:tcPr>
            <w:tcW w:w="1980" w:type="dxa"/>
          </w:tcPr>
          <w:p w14:paraId="4656BF7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105</w:t>
            </w:r>
          </w:p>
        </w:tc>
        <w:tc>
          <w:tcPr>
            <w:tcW w:w="1710" w:type="dxa"/>
          </w:tcPr>
          <w:p w14:paraId="08FB190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w:t>
            </w:r>
          </w:p>
        </w:tc>
        <w:tc>
          <w:tcPr>
            <w:tcW w:w="1440" w:type="dxa"/>
          </w:tcPr>
          <w:p w14:paraId="23FB3C1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106</w:t>
            </w:r>
          </w:p>
        </w:tc>
        <w:tc>
          <w:tcPr>
            <w:tcW w:w="1530" w:type="dxa"/>
          </w:tcPr>
          <w:p w14:paraId="783D1A7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26</w:t>
            </w:r>
          </w:p>
        </w:tc>
        <w:tc>
          <w:tcPr>
            <w:tcW w:w="895" w:type="dxa"/>
          </w:tcPr>
          <w:p w14:paraId="5B2C43F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132</w:t>
            </w:r>
          </w:p>
        </w:tc>
      </w:tr>
      <w:tr w:rsidR="001460F0" w:rsidRPr="00214DA3" w14:paraId="2FB8CB6E" w14:textId="77777777" w:rsidTr="009E0D55">
        <w:tc>
          <w:tcPr>
            <w:tcW w:w="2515" w:type="dxa"/>
          </w:tcPr>
          <w:p w14:paraId="166D2AAA"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Central Luzon (Zambales, Bulacan)</w:t>
            </w:r>
          </w:p>
        </w:tc>
        <w:tc>
          <w:tcPr>
            <w:tcW w:w="1980" w:type="dxa"/>
          </w:tcPr>
          <w:p w14:paraId="750A6A9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w:t>
            </w:r>
          </w:p>
        </w:tc>
        <w:tc>
          <w:tcPr>
            <w:tcW w:w="1710" w:type="dxa"/>
          </w:tcPr>
          <w:p w14:paraId="2BA7EA7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440" w:type="dxa"/>
          </w:tcPr>
          <w:p w14:paraId="63DB89C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w:t>
            </w:r>
          </w:p>
        </w:tc>
        <w:tc>
          <w:tcPr>
            <w:tcW w:w="1530" w:type="dxa"/>
          </w:tcPr>
          <w:p w14:paraId="7840DB3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w:t>
            </w:r>
          </w:p>
        </w:tc>
        <w:tc>
          <w:tcPr>
            <w:tcW w:w="895" w:type="dxa"/>
          </w:tcPr>
          <w:p w14:paraId="6B2619C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21</w:t>
            </w:r>
          </w:p>
        </w:tc>
      </w:tr>
      <w:tr w:rsidR="001460F0" w:rsidRPr="00214DA3" w14:paraId="0652CBEF" w14:textId="77777777" w:rsidTr="009E0D55">
        <w:tc>
          <w:tcPr>
            <w:tcW w:w="2515" w:type="dxa"/>
          </w:tcPr>
          <w:p w14:paraId="5F60FB7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Occidental Mindoro</w:t>
            </w:r>
          </w:p>
        </w:tc>
        <w:tc>
          <w:tcPr>
            <w:tcW w:w="1980" w:type="dxa"/>
          </w:tcPr>
          <w:p w14:paraId="269C39D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32</w:t>
            </w:r>
          </w:p>
        </w:tc>
        <w:tc>
          <w:tcPr>
            <w:tcW w:w="1710" w:type="dxa"/>
          </w:tcPr>
          <w:p w14:paraId="52646BC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w:t>
            </w:r>
          </w:p>
        </w:tc>
        <w:tc>
          <w:tcPr>
            <w:tcW w:w="1440" w:type="dxa"/>
          </w:tcPr>
          <w:p w14:paraId="7187E71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w:t>
            </w:r>
          </w:p>
        </w:tc>
        <w:tc>
          <w:tcPr>
            <w:tcW w:w="1530" w:type="dxa"/>
          </w:tcPr>
          <w:p w14:paraId="05B86A5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895" w:type="dxa"/>
          </w:tcPr>
          <w:p w14:paraId="0ED46C7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w:t>
            </w:r>
          </w:p>
        </w:tc>
      </w:tr>
      <w:tr w:rsidR="001460F0" w:rsidRPr="00214DA3" w14:paraId="7BF52243" w14:textId="77777777" w:rsidTr="009E0D55">
        <w:tc>
          <w:tcPr>
            <w:tcW w:w="2515" w:type="dxa"/>
          </w:tcPr>
          <w:p w14:paraId="31663F1B"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Western Visayas (Iloilo, Guimaras, Negros Occidental)</w:t>
            </w:r>
          </w:p>
        </w:tc>
        <w:tc>
          <w:tcPr>
            <w:tcW w:w="1980" w:type="dxa"/>
          </w:tcPr>
          <w:p w14:paraId="3A8FB9E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248</w:t>
            </w:r>
          </w:p>
        </w:tc>
        <w:tc>
          <w:tcPr>
            <w:tcW w:w="1710" w:type="dxa"/>
          </w:tcPr>
          <w:p w14:paraId="36DB137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440" w:type="dxa"/>
          </w:tcPr>
          <w:p w14:paraId="0D8628C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248</w:t>
            </w:r>
          </w:p>
        </w:tc>
        <w:tc>
          <w:tcPr>
            <w:tcW w:w="1530" w:type="dxa"/>
          </w:tcPr>
          <w:p w14:paraId="6ED61EE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895" w:type="dxa"/>
          </w:tcPr>
          <w:p w14:paraId="276C2C8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248</w:t>
            </w:r>
          </w:p>
        </w:tc>
      </w:tr>
      <w:tr w:rsidR="001460F0" w:rsidRPr="00214DA3" w14:paraId="5F4189EB" w14:textId="77777777" w:rsidTr="009E0D55">
        <w:tc>
          <w:tcPr>
            <w:tcW w:w="2515" w:type="dxa"/>
          </w:tcPr>
          <w:p w14:paraId="063061C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Misamis Oriental</w:t>
            </w:r>
          </w:p>
        </w:tc>
        <w:tc>
          <w:tcPr>
            <w:tcW w:w="1980" w:type="dxa"/>
          </w:tcPr>
          <w:p w14:paraId="09239F1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47</w:t>
            </w:r>
          </w:p>
        </w:tc>
        <w:tc>
          <w:tcPr>
            <w:tcW w:w="1710" w:type="dxa"/>
          </w:tcPr>
          <w:p w14:paraId="369B8EC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1440" w:type="dxa"/>
          </w:tcPr>
          <w:p w14:paraId="08C2069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47</w:t>
            </w:r>
          </w:p>
        </w:tc>
        <w:tc>
          <w:tcPr>
            <w:tcW w:w="1530" w:type="dxa"/>
          </w:tcPr>
          <w:p w14:paraId="1683D0E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w:t>
            </w:r>
          </w:p>
        </w:tc>
        <w:tc>
          <w:tcPr>
            <w:tcW w:w="895" w:type="dxa"/>
          </w:tcPr>
          <w:p w14:paraId="59F320E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47</w:t>
            </w:r>
          </w:p>
        </w:tc>
      </w:tr>
      <w:tr w:rsidR="001460F0" w:rsidRPr="00214DA3" w14:paraId="16FFE41C" w14:textId="77777777" w:rsidTr="009E0D55">
        <w:tc>
          <w:tcPr>
            <w:tcW w:w="2515" w:type="dxa"/>
          </w:tcPr>
          <w:p w14:paraId="7054D3F6"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Total</w:t>
            </w:r>
          </w:p>
        </w:tc>
        <w:tc>
          <w:tcPr>
            <w:tcW w:w="1980" w:type="dxa"/>
          </w:tcPr>
          <w:p w14:paraId="01546B2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445</w:t>
            </w:r>
          </w:p>
        </w:tc>
        <w:tc>
          <w:tcPr>
            <w:tcW w:w="1710" w:type="dxa"/>
          </w:tcPr>
          <w:p w14:paraId="1EA0328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20</w:t>
            </w:r>
          </w:p>
        </w:tc>
        <w:tc>
          <w:tcPr>
            <w:tcW w:w="1440" w:type="dxa"/>
          </w:tcPr>
          <w:p w14:paraId="02C0349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465</w:t>
            </w:r>
          </w:p>
        </w:tc>
        <w:tc>
          <w:tcPr>
            <w:tcW w:w="1530" w:type="dxa"/>
          </w:tcPr>
          <w:p w14:paraId="22ADB93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125</w:t>
            </w:r>
          </w:p>
        </w:tc>
        <w:tc>
          <w:tcPr>
            <w:tcW w:w="895" w:type="dxa"/>
          </w:tcPr>
          <w:p w14:paraId="7DA751F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590</w:t>
            </w:r>
          </w:p>
        </w:tc>
      </w:tr>
      <w:tr w:rsidR="001460F0" w:rsidRPr="00214DA3" w14:paraId="0647811F" w14:textId="77777777" w:rsidTr="009E0D55">
        <w:tc>
          <w:tcPr>
            <w:tcW w:w="2515" w:type="dxa"/>
          </w:tcPr>
          <w:p w14:paraId="71DEB59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Percent</w:t>
            </w:r>
          </w:p>
        </w:tc>
        <w:tc>
          <w:tcPr>
            <w:tcW w:w="1980" w:type="dxa"/>
          </w:tcPr>
          <w:p w14:paraId="07E9ADF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75.4</w:t>
            </w:r>
          </w:p>
        </w:tc>
        <w:tc>
          <w:tcPr>
            <w:tcW w:w="1710" w:type="dxa"/>
          </w:tcPr>
          <w:p w14:paraId="2AC3881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w:t>
            </w:r>
          </w:p>
        </w:tc>
        <w:tc>
          <w:tcPr>
            <w:tcW w:w="1440" w:type="dxa"/>
          </w:tcPr>
          <w:p w14:paraId="2A49A0E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78.8</w:t>
            </w:r>
          </w:p>
        </w:tc>
        <w:tc>
          <w:tcPr>
            <w:tcW w:w="1530" w:type="dxa"/>
          </w:tcPr>
          <w:p w14:paraId="65AE3B4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21.2</w:t>
            </w:r>
          </w:p>
        </w:tc>
        <w:tc>
          <w:tcPr>
            <w:tcW w:w="895" w:type="dxa"/>
          </w:tcPr>
          <w:p w14:paraId="68259EB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100.0</w:t>
            </w:r>
          </w:p>
        </w:tc>
      </w:tr>
    </w:tbl>
    <w:p w14:paraId="07FE13A5" w14:textId="77777777" w:rsidR="001460F0" w:rsidRPr="00C664C7" w:rsidRDefault="001460F0" w:rsidP="00F4763B">
      <w:pPr>
        <w:spacing w:after="0" w:line="480" w:lineRule="auto"/>
        <w:jc w:val="both"/>
        <w:rPr>
          <w:rFonts w:cs="Times New Roman"/>
          <w:color w:val="000000" w:themeColor="text1"/>
          <w:szCs w:val="20"/>
        </w:rPr>
      </w:pPr>
    </w:p>
    <w:p w14:paraId="4AECA2FB" w14:textId="16A9F995" w:rsidR="0062243F" w:rsidRPr="00C664C7" w:rsidRDefault="0063164E" w:rsidP="00193DD3">
      <w:pPr>
        <w:spacing w:after="0" w:line="480" w:lineRule="auto"/>
        <w:ind w:firstLine="567"/>
        <w:jc w:val="both"/>
        <w:rPr>
          <w:rFonts w:cs="Times New Roman"/>
          <w:color w:val="000000" w:themeColor="text1"/>
          <w:szCs w:val="20"/>
        </w:rPr>
      </w:pPr>
      <w:r>
        <w:rPr>
          <w:rFonts w:cs="Times New Roman"/>
          <w:color w:val="000000" w:themeColor="text1"/>
          <w:szCs w:val="20"/>
        </w:rPr>
        <w:t>T</w:t>
      </w:r>
      <w:r w:rsidR="00982370" w:rsidRPr="00C664C7">
        <w:rPr>
          <w:rFonts w:cs="Times New Roman"/>
          <w:color w:val="000000" w:themeColor="text1"/>
          <w:szCs w:val="20"/>
        </w:rPr>
        <w:t xml:space="preserve">he </w:t>
      </w:r>
      <w:r>
        <w:rPr>
          <w:rFonts w:cs="Times New Roman"/>
          <w:color w:val="000000" w:themeColor="text1"/>
          <w:szCs w:val="20"/>
        </w:rPr>
        <w:t>r</w:t>
      </w:r>
      <w:r w:rsidRPr="00C664C7">
        <w:rPr>
          <w:rFonts w:cs="Times New Roman"/>
          <w:color w:val="000000" w:themeColor="text1"/>
          <w:szCs w:val="20"/>
        </w:rPr>
        <w:t xml:space="preserve">esults </w:t>
      </w:r>
      <w:r w:rsidR="00982370" w:rsidRPr="00C664C7">
        <w:rPr>
          <w:rFonts w:cs="Times New Roman"/>
          <w:color w:val="000000" w:themeColor="text1"/>
          <w:szCs w:val="20"/>
        </w:rPr>
        <w:t>showed c</w:t>
      </w:r>
      <w:r w:rsidR="0062243F" w:rsidRPr="00C664C7">
        <w:rPr>
          <w:rFonts w:cs="Times New Roman"/>
          <w:color w:val="000000" w:themeColor="text1"/>
          <w:szCs w:val="20"/>
        </w:rPr>
        <w:t xml:space="preserve">lear geographic patterns in the use of production systems. </w:t>
      </w:r>
      <w:r w:rsidR="00982370" w:rsidRPr="00C664C7">
        <w:rPr>
          <w:rFonts w:cs="Times New Roman"/>
          <w:color w:val="000000" w:themeColor="text1"/>
          <w:szCs w:val="20"/>
        </w:rPr>
        <w:t>The s</w:t>
      </w:r>
      <w:r w:rsidR="0062243F" w:rsidRPr="00C664C7">
        <w:rPr>
          <w:rFonts w:cs="Times New Roman"/>
          <w:color w:val="000000" w:themeColor="text1"/>
          <w:szCs w:val="20"/>
        </w:rPr>
        <w:t xml:space="preserve">olar evaporation </w:t>
      </w:r>
      <w:r w:rsidR="00982370" w:rsidRPr="00C664C7">
        <w:rPr>
          <w:rFonts w:cs="Times New Roman"/>
          <w:color w:val="000000" w:themeColor="text1"/>
          <w:szCs w:val="20"/>
        </w:rPr>
        <w:t xml:space="preserve">method </w:t>
      </w:r>
      <w:r w:rsidR="0062243F" w:rsidRPr="00C664C7">
        <w:rPr>
          <w:rFonts w:cs="Times New Roman"/>
          <w:color w:val="000000" w:themeColor="text1"/>
          <w:szCs w:val="20"/>
        </w:rPr>
        <w:t>was reported by all respondents in Western Visayas and Misamis Oriental and by most respondents in Pangasinan and Occidental Mindoro. In contrast, cooking-based production was dominant in Ilocos Norte and Ilocos Sur</w:t>
      </w:r>
      <w:r w:rsidR="00982370" w:rsidRPr="00C664C7">
        <w:rPr>
          <w:rFonts w:cs="Times New Roman"/>
          <w:color w:val="000000" w:themeColor="text1"/>
          <w:szCs w:val="20"/>
        </w:rPr>
        <w:t xml:space="preserve">. </w:t>
      </w:r>
      <w:r w:rsidR="0062243F" w:rsidRPr="00C664C7">
        <w:rPr>
          <w:rFonts w:cs="Times New Roman"/>
          <w:color w:val="000000" w:themeColor="text1"/>
          <w:szCs w:val="20"/>
        </w:rPr>
        <w:t xml:space="preserve">La Union showed a distinct pattern, with most respondents using HDPE-lined solar crystallization beds and a smaller proportion using cooking-based production. </w:t>
      </w:r>
      <w:r w:rsidR="00982370" w:rsidRPr="00C664C7">
        <w:rPr>
          <w:rFonts w:cs="Times New Roman"/>
          <w:color w:val="000000" w:themeColor="text1"/>
          <w:szCs w:val="20"/>
        </w:rPr>
        <w:t>Differences in</w:t>
      </w:r>
      <w:r w:rsidR="0062243F" w:rsidRPr="00C664C7">
        <w:rPr>
          <w:rFonts w:cs="Times New Roman"/>
          <w:color w:val="000000" w:themeColor="text1"/>
          <w:szCs w:val="20"/>
        </w:rPr>
        <w:t xml:space="preserve"> salt-making practices across provinces</w:t>
      </w:r>
      <w:r w:rsidR="00982370" w:rsidRPr="00C664C7">
        <w:rPr>
          <w:rFonts w:cs="Times New Roman"/>
          <w:color w:val="000000" w:themeColor="text1"/>
          <w:szCs w:val="20"/>
        </w:rPr>
        <w:t xml:space="preserve"> may</w:t>
      </w:r>
      <w:r w:rsidR="0062243F" w:rsidRPr="00C664C7">
        <w:rPr>
          <w:rFonts w:cs="Times New Roman"/>
          <w:color w:val="000000" w:themeColor="text1"/>
          <w:szCs w:val="20"/>
        </w:rPr>
        <w:t xml:space="preserve"> reflect differences in local production traditions, site conditions, and available production facilities.</w:t>
      </w:r>
    </w:p>
    <w:p w14:paraId="0096F9B9" w14:textId="42D8064D" w:rsidR="00E24685" w:rsidRDefault="00982370" w:rsidP="001460F0">
      <w:pPr>
        <w:spacing w:after="0" w:line="480" w:lineRule="auto"/>
        <w:ind w:firstLine="567"/>
        <w:jc w:val="both"/>
        <w:rPr>
          <w:rFonts w:cs="Times New Roman"/>
          <w:color w:val="000000" w:themeColor="text1"/>
          <w:szCs w:val="20"/>
        </w:rPr>
      </w:pPr>
      <w:r w:rsidRPr="00C664C7">
        <w:rPr>
          <w:rFonts w:cs="Times New Roman"/>
          <w:color w:val="000000" w:themeColor="text1"/>
          <w:szCs w:val="20"/>
        </w:rPr>
        <w:t>Table 4 shows the p</w:t>
      </w:r>
      <w:r w:rsidR="0062243F" w:rsidRPr="00C664C7">
        <w:rPr>
          <w:rFonts w:cs="Times New Roman"/>
          <w:color w:val="000000" w:themeColor="text1"/>
          <w:szCs w:val="20"/>
        </w:rPr>
        <w:t>ost-harvest practices</w:t>
      </w:r>
      <w:r w:rsidRPr="00C664C7">
        <w:rPr>
          <w:rFonts w:cs="Times New Roman"/>
          <w:color w:val="000000" w:themeColor="text1"/>
          <w:szCs w:val="20"/>
        </w:rPr>
        <w:t xml:space="preserve"> of the respondents. </w:t>
      </w:r>
      <w:r w:rsidR="0063164E">
        <w:rPr>
          <w:rFonts w:cs="Times New Roman"/>
          <w:color w:val="000000" w:themeColor="text1"/>
          <w:szCs w:val="20"/>
        </w:rPr>
        <w:t>F</w:t>
      </w:r>
      <w:r w:rsidR="0062243F" w:rsidRPr="00C664C7">
        <w:rPr>
          <w:rFonts w:cs="Times New Roman"/>
          <w:color w:val="000000" w:themeColor="text1"/>
          <w:szCs w:val="20"/>
        </w:rPr>
        <w:t xml:space="preserve">arm-level packaging was </w:t>
      </w:r>
      <w:r w:rsidR="0063164E">
        <w:rPr>
          <w:rFonts w:cs="Times New Roman"/>
          <w:color w:val="000000" w:themeColor="text1"/>
          <w:szCs w:val="20"/>
        </w:rPr>
        <w:t>predominantly</w:t>
      </w:r>
      <w:r w:rsidR="0062243F" w:rsidRPr="00C664C7">
        <w:rPr>
          <w:rFonts w:cs="Times New Roman"/>
          <w:color w:val="000000" w:themeColor="text1"/>
          <w:szCs w:val="20"/>
        </w:rPr>
        <w:t xml:space="preserve"> </w:t>
      </w:r>
      <w:r w:rsidR="0063164E">
        <w:rPr>
          <w:rFonts w:cs="Times New Roman"/>
          <w:color w:val="000000" w:themeColor="text1"/>
          <w:szCs w:val="20"/>
        </w:rPr>
        <w:t xml:space="preserve">done using </w:t>
      </w:r>
      <w:r w:rsidR="0062243F" w:rsidRPr="00C664C7">
        <w:rPr>
          <w:rFonts w:cs="Times New Roman"/>
          <w:color w:val="000000" w:themeColor="text1"/>
          <w:szCs w:val="20"/>
        </w:rPr>
        <w:t xml:space="preserve">sacks (93.1%). Plastic bags were used by 40 respondents (6.8%), while other packaging materials were rarely reported. </w:t>
      </w:r>
      <w:r w:rsidR="00E24685" w:rsidRPr="00C664C7">
        <w:rPr>
          <w:rFonts w:cs="Times New Roman"/>
          <w:color w:val="000000" w:themeColor="text1"/>
          <w:szCs w:val="20"/>
        </w:rPr>
        <w:t xml:space="preserve">This suggests that there is minimal variation in packaging materials at the farm level and that most producers continue to depend on basic bulk packaging rather than adopting differentiated or value-enhancing packaging formats. Regarding packaging costs, most respondents reported costs of PHP 10-20 (63.1%), while 5.1% reported costs below PHP 10. Meanwhile, </w:t>
      </w:r>
      <w:r w:rsidR="000F2FE4" w:rsidRPr="00C664C7">
        <w:rPr>
          <w:rFonts w:cs="Times New Roman"/>
          <w:color w:val="000000" w:themeColor="text1"/>
          <w:szCs w:val="20"/>
        </w:rPr>
        <w:t xml:space="preserve">188 (31.9%) of the respondents reported that the materials were free, </w:t>
      </w:r>
      <w:r w:rsidR="0063164E">
        <w:rPr>
          <w:rFonts w:cs="Times New Roman"/>
          <w:color w:val="000000" w:themeColor="text1"/>
          <w:szCs w:val="20"/>
        </w:rPr>
        <w:t>because</w:t>
      </w:r>
      <w:r w:rsidR="0063164E" w:rsidRPr="00C664C7">
        <w:rPr>
          <w:rFonts w:cs="Times New Roman"/>
          <w:color w:val="000000" w:themeColor="text1"/>
          <w:szCs w:val="20"/>
        </w:rPr>
        <w:t xml:space="preserve"> </w:t>
      </w:r>
      <w:r w:rsidR="000F2FE4" w:rsidRPr="00C664C7">
        <w:rPr>
          <w:rFonts w:cs="Times New Roman"/>
          <w:color w:val="000000" w:themeColor="text1"/>
          <w:szCs w:val="20"/>
        </w:rPr>
        <w:t xml:space="preserve">they </w:t>
      </w:r>
      <w:r w:rsidR="0063164E">
        <w:rPr>
          <w:rFonts w:cs="Times New Roman"/>
          <w:color w:val="000000" w:themeColor="text1"/>
          <w:szCs w:val="20"/>
        </w:rPr>
        <w:t>we</w:t>
      </w:r>
      <w:r w:rsidR="000F2FE4" w:rsidRPr="00C664C7">
        <w:rPr>
          <w:rFonts w:cs="Times New Roman"/>
          <w:color w:val="000000" w:themeColor="text1"/>
          <w:szCs w:val="20"/>
        </w:rPr>
        <w:t>re provided by buyer</w:t>
      </w:r>
      <w:r w:rsidR="0063164E">
        <w:rPr>
          <w:rFonts w:cs="Times New Roman"/>
          <w:color w:val="000000" w:themeColor="text1"/>
          <w:szCs w:val="20"/>
        </w:rPr>
        <w:t>s</w:t>
      </w:r>
      <w:r w:rsidR="000F2FE4" w:rsidRPr="00C664C7">
        <w:rPr>
          <w:rFonts w:cs="Times New Roman"/>
          <w:color w:val="000000" w:themeColor="text1"/>
          <w:szCs w:val="20"/>
        </w:rPr>
        <w:t xml:space="preserve"> or </w:t>
      </w:r>
      <w:r w:rsidR="0063164E">
        <w:rPr>
          <w:rFonts w:cs="Times New Roman"/>
          <w:color w:val="000000" w:themeColor="text1"/>
          <w:szCs w:val="20"/>
        </w:rPr>
        <w:t xml:space="preserve">the </w:t>
      </w:r>
      <w:r w:rsidR="000F2FE4" w:rsidRPr="00C664C7">
        <w:rPr>
          <w:rFonts w:cs="Times New Roman"/>
          <w:color w:val="000000" w:themeColor="text1"/>
          <w:szCs w:val="20"/>
        </w:rPr>
        <w:t xml:space="preserve">government. Of these, </w:t>
      </w:r>
      <w:r w:rsidR="00E24685" w:rsidRPr="00C664C7">
        <w:rPr>
          <w:rFonts w:cs="Times New Roman"/>
          <w:color w:val="000000" w:themeColor="text1"/>
          <w:szCs w:val="20"/>
        </w:rPr>
        <w:t xml:space="preserve">27.5% reported that packaging </w:t>
      </w:r>
      <w:r w:rsidR="000F2FE4" w:rsidRPr="00C664C7">
        <w:rPr>
          <w:rFonts w:cs="Times New Roman"/>
          <w:color w:val="000000" w:themeColor="text1"/>
          <w:szCs w:val="20"/>
        </w:rPr>
        <w:t xml:space="preserve">materials </w:t>
      </w:r>
      <w:r w:rsidR="00E24685" w:rsidRPr="00C664C7">
        <w:rPr>
          <w:rFonts w:cs="Times New Roman"/>
          <w:color w:val="000000" w:themeColor="text1"/>
          <w:szCs w:val="20"/>
        </w:rPr>
        <w:t>w</w:t>
      </w:r>
      <w:r w:rsidR="000F2FE4" w:rsidRPr="00C664C7">
        <w:rPr>
          <w:rFonts w:cs="Times New Roman"/>
          <w:color w:val="000000" w:themeColor="text1"/>
          <w:szCs w:val="20"/>
        </w:rPr>
        <w:t>ere</w:t>
      </w:r>
      <w:r w:rsidR="00E24685" w:rsidRPr="00C664C7">
        <w:rPr>
          <w:rFonts w:cs="Times New Roman"/>
          <w:color w:val="000000" w:themeColor="text1"/>
          <w:szCs w:val="20"/>
        </w:rPr>
        <w:t xml:space="preserve"> provided by buyers and 4.4% provided by the government. </w:t>
      </w:r>
    </w:p>
    <w:p w14:paraId="61B7F0B9" w14:textId="77777777" w:rsidR="001460F0" w:rsidRPr="00157E06" w:rsidRDefault="001460F0" w:rsidP="00157E06">
      <w:pPr>
        <w:spacing w:after="0" w:line="480" w:lineRule="auto"/>
        <w:jc w:val="both"/>
        <w:rPr>
          <w:rFonts w:cs="Times New Roman"/>
          <w:color w:val="000000" w:themeColor="text1"/>
          <w:sz w:val="18"/>
          <w:szCs w:val="18"/>
        </w:rPr>
      </w:pPr>
      <w:r w:rsidRPr="00157E06">
        <w:rPr>
          <w:rFonts w:cs="Times New Roman"/>
          <w:b/>
          <w:color w:val="000000" w:themeColor="text1"/>
          <w:sz w:val="18"/>
          <w:szCs w:val="18"/>
        </w:rPr>
        <w:t xml:space="preserve">Table 4. </w:t>
      </w:r>
      <w:r w:rsidRPr="00157E06">
        <w:rPr>
          <w:rFonts w:cs="Times New Roman"/>
          <w:bCs/>
          <w:color w:val="000000" w:themeColor="text1"/>
          <w:sz w:val="18"/>
          <w:szCs w:val="18"/>
        </w:rPr>
        <w:t>Farm-level packaging, packaging source/cost, storage facility, storage material, storage duration, and packaging information reported by respondents (n=590).</w:t>
      </w:r>
    </w:p>
    <w:tbl>
      <w:tblPr>
        <w:tblStyle w:val="TableGrid"/>
        <w:tblW w:w="5000" w:type="pct"/>
        <w:tblLook w:val="04A0" w:firstRow="1" w:lastRow="0" w:firstColumn="1" w:lastColumn="0" w:noHBand="0" w:noVBand="1"/>
      </w:tblPr>
      <w:tblGrid>
        <w:gridCol w:w="6295"/>
        <w:gridCol w:w="1361"/>
        <w:gridCol w:w="1360"/>
      </w:tblGrid>
      <w:tr w:rsidR="001460F0" w:rsidRPr="00214DA3" w14:paraId="7F40CD9C" w14:textId="77777777" w:rsidTr="00157E06">
        <w:tc>
          <w:tcPr>
            <w:tcW w:w="3491" w:type="pct"/>
          </w:tcPr>
          <w:p w14:paraId="689AD6F0"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Characteristics</w:t>
            </w:r>
          </w:p>
        </w:tc>
        <w:tc>
          <w:tcPr>
            <w:tcW w:w="755" w:type="pct"/>
          </w:tcPr>
          <w:p w14:paraId="1734A2BC" w14:textId="77777777" w:rsidR="001460F0" w:rsidRPr="001460F0" w:rsidRDefault="001460F0" w:rsidP="009E0D55">
            <w:pPr>
              <w:jc w:val="center"/>
              <w:rPr>
                <w:rFonts w:cs="Times New Roman"/>
                <w:b/>
                <w:bCs/>
                <w:color w:val="000000" w:themeColor="text1"/>
                <w:szCs w:val="20"/>
              </w:rPr>
            </w:pPr>
            <w:r w:rsidRPr="001460F0">
              <w:rPr>
                <w:rFonts w:cs="Times New Roman"/>
                <w:b/>
                <w:bCs/>
                <w:color w:val="000000" w:themeColor="text1"/>
                <w:szCs w:val="20"/>
              </w:rPr>
              <w:t>Frequency</w:t>
            </w:r>
          </w:p>
        </w:tc>
        <w:tc>
          <w:tcPr>
            <w:tcW w:w="755" w:type="pct"/>
          </w:tcPr>
          <w:p w14:paraId="5953CF33" w14:textId="77777777" w:rsidR="001460F0" w:rsidRPr="001460F0" w:rsidRDefault="001460F0" w:rsidP="009E0D55">
            <w:pPr>
              <w:jc w:val="center"/>
              <w:rPr>
                <w:rFonts w:cs="Times New Roman"/>
                <w:b/>
                <w:bCs/>
                <w:color w:val="000000" w:themeColor="text1"/>
                <w:szCs w:val="20"/>
              </w:rPr>
            </w:pPr>
            <w:r w:rsidRPr="001460F0">
              <w:rPr>
                <w:rFonts w:cs="Times New Roman"/>
                <w:b/>
                <w:bCs/>
                <w:color w:val="000000" w:themeColor="text1"/>
                <w:szCs w:val="20"/>
              </w:rPr>
              <w:t>Percent</w:t>
            </w:r>
          </w:p>
        </w:tc>
      </w:tr>
      <w:tr w:rsidR="001460F0" w:rsidRPr="00214DA3" w14:paraId="67686250" w14:textId="77777777" w:rsidTr="00157E06">
        <w:tc>
          <w:tcPr>
            <w:tcW w:w="3491" w:type="pct"/>
          </w:tcPr>
          <w:p w14:paraId="741CE41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Packaging Material Used</w:t>
            </w:r>
          </w:p>
        </w:tc>
        <w:tc>
          <w:tcPr>
            <w:tcW w:w="755" w:type="pct"/>
          </w:tcPr>
          <w:p w14:paraId="13662689" w14:textId="77777777" w:rsidR="001460F0" w:rsidRPr="00214DA3" w:rsidRDefault="001460F0" w:rsidP="009E0D55">
            <w:pPr>
              <w:rPr>
                <w:rFonts w:cs="Times New Roman"/>
                <w:color w:val="000000" w:themeColor="text1"/>
                <w:szCs w:val="20"/>
              </w:rPr>
            </w:pPr>
          </w:p>
        </w:tc>
        <w:tc>
          <w:tcPr>
            <w:tcW w:w="755" w:type="pct"/>
          </w:tcPr>
          <w:p w14:paraId="50E11ED3" w14:textId="77777777" w:rsidR="001460F0" w:rsidRPr="00214DA3" w:rsidRDefault="001460F0" w:rsidP="009E0D55">
            <w:pPr>
              <w:rPr>
                <w:rFonts w:cs="Times New Roman"/>
                <w:color w:val="000000" w:themeColor="text1"/>
                <w:szCs w:val="20"/>
              </w:rPr>
            </w:pPr>
          </w:p>
        </w:tc>
      </w:tr>
      <w:tr w:rsidR="001460F0" w:rsidRPr="00214DA3" w14:paraId="3B590D63" w14:textId="77777777" w:rsidTr="00157E06">
        <w:tc>
          <w:tcPr>
            <w:tcW w:w="3491" w:type="pct"/>
          </w:tcPr>
          <w:p w14:paraId="2A9072DA"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Sack</w:t>
            </w:r>
          </w:p>
        </w:tc>
        <w:tc>
          <w:tcPr>
            <w:tcW w:w="755" w:type="pct"/>
          </w:tcPr>
          <w:p w14:paraId="0292DC3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549</w:t>
            </w:r>
          </w:p>
        </w:tc>
        <w:tc>
          <w:tcPr>
            <w:tcW w:w="755" w:type="pct"/>
          </w:tcPr>
          <w:p w14:paraId="57177E6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93.1</w:t>
            </w:r>
          </w:p>
        </w:tc>
      </w:tr>
      <w:tr w:rsidR="001460F0" w:rsidRPr="00214DA3" w14:paraId="713C779A" w14:textId="77777777" w:rsidTr="00157E06">
        <w:tc>
          <w:tcPr>
            <w:tcW w:w="3491" w:type="pct"/>
          </w:tcPr>
          <w:p w14:paraId="626362E2"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Plastic bag</w:t>
            </w:r>
          </w:p>
        </w:tc>
        <w:tc>
          <w:tcPr>
            <w:tcW w:w="755" w:type="pct"/>
          </w:tcPr>
          <w:p w14:paraId="19D562B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40</w:t>
            </w:r>
          </w:p>
        </w:tc>
        <w:tc>
          <w:tcPr>
            <w:tcW w:w="755" w:type="pct"/>
          </w:tcPr>
          <w:p w14:paraId="2A393F4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6.8</w:t>
            </w:r>
          </w:p>
        </w:tc>
      </w:tr>
      <w:tr w:rsidR="001460F0" w:rsidRPr="00214DA3" w14:paraId="5498FB61" w14:textId="77777777" w:rsidTr="00157E06">
        <w:tc>
          <w:tcPr>
            <w:tcW w:w="3491" w:type="pct"/>
          </w:tcPr>
          <w:p w14:paraId="37C54ABA"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Others</w:t>
            </w:r>
          </w:p>
        </w:tc>
        <w:tc>
          <w:tcPr>
            <w:tcW w:w="755" w:type="pct"/>
          </w:tcPr>
          <w:p w14:paraId="26D09E1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w:t>
            </w:r>
          </w:p>
        </w:tc>
        <w:tc>
          <w:tcPr>
            <w:tcW w:w="755" w:type="pct"/>
          </w:tcPr>
          <w:p w14:paraId="2C4E582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0.2</w:t>
            </w:r>
          </w:p>
        </w:tc>
      </w:tr>
      <w:tr w:rsidR="001460F0" w:rsidRPr="00214DA3" w14:paraId="2CEF8B10" w14:textId="77777777" w:rsidTr="00157E06">
        <w:tc>
          <w:tcPr>
            <w:tcW w:w="3491" w:type="pct"/>
          </w:tcPr>
          <w:p w14:paraId="0BF093F4"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 xml:space="preserve">Packaging Cost </w:t>
            </w:r>
          </w:p>
        </w:tc>
        <w:tc>
          <w:tcPr>
            <w:tcW w:w="755" w:type="pct"/>
          </w:tcPr>
          <w:p w14:paraId="2768B7B5" w14:textId="77777777" w:rsidR="001460F0" w:rsidRPr="00214DA3" w:rsidRDefault="001460F0" w:rsidP="009E0D55">
            <w:pPr>
              <w:jc w:val="center"/>
              <w:rPr>
                <w:rFonts w:cs="Times New Roman"/>
                <w:color w:val="000000" w:themeColor="text1"/>
                <w:szCs w:val="20"/>
              </w:rPr>
            </w:pPr>
          </w:p>
        </w:tc>
        <w:tc>
          <w:tcPr>
            <w:tcW w:w="755" w:type="pct"/>
          </w:tcPr>
          <w:p w14:paraId="775C59D7" w14:textId="77777777" w:rsidR="001460F0" w:rsidRPr="00214DA3" w:rsidRDefault="001460F0" w:rsidP="009E0D55">
            <w:pPr>
              <w:jc w:val="center"/>
              <w:rPr>
                <w:rFonts w:cs="Times New Roman"/>
                <w:color w:val="000000" w:themeColor="text1"/>
                <w:szCs w:val="20"/>
              </w:rPr>
            </w:pPr>
          </w:p>
        </w:tc>
      </w:tr>
      <w:tr w:rsidR="001460F0" w:rsidRPr="00214DA3" w14:paraId="27948854" w14:textId="77777777" w:rsidTr="00157E06">
        <w:tc>
          <w:tcPr>
            <w:tcW w:w="3491" w:type="pct"/>
          </w:tcPr>
          <w:p w14:paraId="7CB6A553"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&lt; PHP 10</w:t>
            </w:r>
          </w:p>
        </w:tc>
        <w:tc>
          <w:tcPr>
            <w:tcW w:w="755" w:type="pct"/>
          </w:tcPr>
          <w:p w14:paraId="05F14A0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30</w:t>
            </w:r>
          </w:p>
        </w:tc>
        <w:tc>
          <w:tcPr>
            <w:tcW w:w="755" w:type="pct"/>
          </w:tcPr>
          <w:p w14:paraId="14B2B9F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5.1</w:t>
            </w:r>
          </w:p>
        </w:tc>
      </w:tr>
      <w:tr w:rsidR="001460F0" w:rsidRPr="00214DA3" w14:paraId="71910A2B" w14:textId="77777777" w:rsidTr="00157E06">
        <w:tc>
          <w:tcPr>
            <w:tcW w:w="3491" w:type="pct"/>
          </w:tcPr>
          <w:p w14:paraId="083ECB52"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PHP 10-20</w:t>
            </w:r>
          </w:p>
        </w:tc>
        <w:tc>
          <w:tcPr>
            <w:tcW w:w="755" w:type="pct"/>
          </w:tcPr>
          <w:p w14:paraId="6C0AC33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372</w:t>
            </w:r>
          </w:p>
        </w:tc>
        <w:tc>
          <w:tcPr>
            <w:tcW w:w="755" w:type="pct"/>
          </w:tcPr>
          <w:p w14:paraId="73F0A25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63.1</w:t>
            </w:r>
          </w:p>
        </w:tc>
      </w:tr>
      <w:tr w:rsidR="001460F0" w:rsidRPr="00214DA3" w14:paraId="1FE80AB7" w14:textId="77777777" w:rsidTr="00157E06">
        <w:tc>
          <w:tcPr>
            <w:tcW w:w="3491" w:type="pct"/>
          </w:tcPr>
          <w:p w14:paraId="64400BBB"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Source of Free Packaging Material</w:t>
            </w:r>
          </w:p>
        </w:tc>
        <w:tc>
          <w:tcPr>
            <w:tcW w:w="755" w:type="pct"/>
          </w:tcPr>
          <w:p w14:paraId="080EE55F" w14:textId="77777777" w:rsidR="001460F0" w:rsidRPr="00214DA3" w:rsidRDefault="001460F0" w:rsidP="009E0D55">
            <w:pPr>
              <w:jc w:val="center"/>
              <w:rPr>
                <w:rFonts w:cs="Times New Roman"/>
                <w:color w:val="000000" w:themeColor="text1"/>
                <w:szCs w:val="20"/>
              </w:rPr>
            </w:pPr>
          </w:p>
        </w:tc>
        <w:tc>
          <w:tcPr>
            <w:tcW w:w="755" w:type="pct"/>
          </w:tcPr>
          <w:p w14:paraId="3E821839" w14:textId="77777777" w:rsidR="001460F0" w:rsidRPr="00214DA3" w:rsidRDefault="001460F0" w:rsidP="009E0D55">
            <w:pPr>
              <w:jc w:val="center"/>
              <w:rPr>
                <w:rFonts w:cs="Times New Roman"/>
                <w:color w:val="000000" w:themeColor="text1"/>
                <w:szCs w:val="20"/>
              </w:rPr>
            </w:pPr>
          </w:p>
        </w:tc>
      </w:tr>
      <w:tr w:rsidR="001460F0" w:rsidRPr="00214DA3" w14:paraId="5E47B72C" w14:textId="77777777" w:rsidTr="00157E06">
        <w:tc>
          <w:tcPr>
            <w:tcW w:w="3491" w:type="pct"/>
          </w:tcPr>
          <w:p w14:paraId="23EFD750"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Provided by buyer</w:t>
            </w:r>
          </w:p>
        </w:tc>
        <w:tc>
          <w:tcPr>
            <w:tcW w:w="755" w:type="pct"/>
          </w:tcPr>
          <w:p w14:paraId="4323E0D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162</w:t>
            </w:r>
          </w:p>
        </w:tc>
        <w:tc>
          <w:tcPr>
            <w:tcW w:w="755" w:type="pct"/>
          </w:tcPr>
          <w:p w14:paraId="52749A1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27.5</w:t>
            </w:r>
          </w:p>
        </w:tc>
      </w:tr>
      <w:tr w:rsidR="001460F0" w:rsidRPr="00214DA3" w14:paraId="116942FA" w14:textId="77777777" w:rsidTr="00157E06">
        <w:tc>
          <w:tcPr>
            <w:tcW w:w="3491" w:type="pct"/>
          </w:tcPr>
          <w:p w14:paraId="004AFEE3"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Provided by government</w:t>
            </w:r>
          </w:p>
        </w:tc>
        <w:tc>
          <w:tcPr>
            <w:tcW w:w="755" w:type="pct"/>
          </w:tcPr>
          <w:p w14:paraId="5820ED2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26</w:t>
            </w:r>
          </w:p>
        </w:tc>
        <w:tc>
          <w:tcPr>
            <w:tcW w:w="755" w:type="pct"/>
          </w:tcPr>
          <w:p w14:paraId="0236F53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4.4</w:t>
            </w:r>
          </w:p>
        </w:tc>
      </w:tr>
      <w:tr w:rsidR="001460F0" w:rsidRPr="00214DA3" w14:paraId="147F0577" w14:textId="77777777" w:rsidTr="00157E06">
        <w:tc>
          <w:tcPr>
            <w:tcW w:w="3491" w:type="pct"/>
          </w:tcPr>
          <w:p w14:paraId="0E3B3310"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Farm Storage Facility</w:t>
            </w:r>
          </w:p>
        </w:tc>
        <w:tc>
          <w:tcPr>
            <w:tcW w:w="755" w:type="pct"/>
          </w:tcPr>
          <w:p w14:paraId="1022A6CF" w14:textId="77777777" w:rsidR="001460F0" w:rsidRPr="00214DA3" w:rsidRDefault="001460F0" w:rsidP="009E0D55">
            <w:pPr>
              <w:jc w:val="center"/>
              <w:rPr>
                <w:rFonts w:cs="Times New Roman"/>
                <w:color w:val="000000" w:themeColor="text1"/>
                <w:szCs w:val="20"/>
              </w:rPr>
            </w:pPr>
          </w:p>
        </w:tc>
        <w:tc>
          <w:tcPr>
            <w:tcW w:w="755" w:type="pct"/>
          </w:tcPr>
          <w:p w14:paraId="1C661D4E" w14:textId="77777777" w:rsidR="001460F0" w:rsidRPr="00214DA3" w:rsidRDefault="001460F0" w:rsidP="009E0D55">
            <w:pPr>
              <w:jc w:val="center"/>
              <w:rPr>
                <w:rFonts w:cs="Times New Roman"/>
                <w:color w:val="000000" w:themeColor="text1"/>
                <w:szCs w:val="20"/>
              </w:rPr>
            </w:pPr>
          </w:p>
        </w:tc>
      </w:tr>
      <w:tr w:rsidR="001460F0" w:rsidRPr="00214DA3" w14:paraId="73F01CE8" w14:textId="77777777" w:rsidTr="00157E06">
        <w:tc>
          <w:tcPr>
            <w:tcW w:w="3491" w:type="pct"/>
          </w:tcPr>
          <w:p w14:paraId="68016EAF"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With storage</w:t>
            </w:r>
          </w:p>
        </w:tc>
        <w:tc>
          <w:tcPr>
            <w:tcW w:w="755" w:type="pct"/>
          </w:tcPr>
          <w:p w14:paraId="1A00223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382</w:t>
            </w:r>
          </w:p>
        </w:tc>
        <w:tc>
          <w:tcPr>
            <w:tcW w:w="755" w:type="pct"/>
          </w:tcPr>
          <w:p w14:paraId="122D6E6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64.7</w:t>
            </w:r>
          </w:p>
        </w:tc>
      </w:tr>
      <w:tr w:rsidR="001460F0" w:rsidRPr="00214DA3" w14:paraId="2BA6F09D" w14:textId="77777777" w:rsidTr="00157E06">
        <w:tc>
          <w:tcPr>
            <w:tcW w:w="3491" w:type="pct"/>
          </w:tcPr>
          <w:p w14:paraId="5D91EDC9"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Without storage</w:t>
            </w:r>
          </w:p>
        </w:tc>
        <w:tc>
          <w:tcPr>
            <w:tcW w:w="755" w:type="pct"/>
          </w:tcPr>
          <w:p w14:paraId="425C1B7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208</w:t>
            </w:r>
          </w:p>
        </w:tc>
        <w:tc>
          <w:tcPr>
            <w:tcW w:w="755" w:type="pct"/>
          </w:tcPr>
          <w:p w14:paraId="6295E60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35.3</w:t>
            </w:r>
          </w:p>
        </w:tc>
      </w:tr>
      <w:tr w:rsidR="001460F0" w:rsidRPr="00214DA3" w14:paraId="16FF9AA7" w14:textId="77777777" w:rsidTr="00157E06">
        <w:tc>
          <w:tcPr>
            <w:tcW w:w="3491" w:type="pct"/>
          </w:tcPr>
          <w:p w14:paraId="3E698EDA"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Storage Material Used</w:t>
            </w:r>
          </w:p>
        </w:tc>
        <w:tc>
          <w:tcPr>
            <w:tcW w:w="755" w:type="pct"/>
          </w:tcPr>
          <w:p w14:paraId="729A1689" w14:textId="77777777" w:rsidR="001460F0" w:rsidRPr="00214DA3" w:rsidRDefault="001460F0" w:rsidP="009E0D55">
            <w:pPr>
              <w:jc w:val="center"/>
              <w:rPr>
                <w:rFonts w:cs="Times New Roman"/>
                <w:color w:val="000000" w:themeColor="text1"/>
                <w:szCs w:val="20"/>
              </w:rPr>
            </w:pPr>
          </w:p>
        </w:tc>
        <w:tc>
          <w:tcPr>
            <w:tcW w:w="755" w:type="pct"/>
          </w:tcPr>
          <w:p w14:paraId="1C5F81B4" w14:textId="77777777" w:rsidR="001460F0" w:rsidRPr="00214DA3" w:rsidRDefault="001460F0" w:rsidP="009E0D55">
            <w:pPr>
              <w:jc w:val="center"/>
              <w:rPr>
                <w:rFonts w:cs="Times New Roman"/>
                <w:color w:val="000000" w:themeColor="text1"/>
                <w:szCs w:val="20"/>
              </w:rPr>
            </w:pPr>
          </w:p>
        </w:tc>
      </w:tr>
      <w:tr w:rsidR="001460F0" w:rsidRPr="00214DA3" w14:paraId="7EE8A197" w14:textId="77777777" w:rsidTr="00157E06">
        <w:tc>
          <w:tcPr>
            <w:tcW w:w="3491" w:type="pct"/>
          </w:tcPr>
          <w:p w14:paraId="66DCBE59"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Plastic sack</w:t>
            </w:r>
          </w:p>
        </w:tc>
        <w:tc>
          <w:tcPr>
            <w:tcW w:w="755" w:type="pct"/>
          </w:tcPr>
          <w:p w14:paraId="3D7F59B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321</w:t>
            </w:r>
          </w:p>
        </w:tc>
        <w:tc>
          <w:tcPr>
            <w:tcW w:w="755" w:type="pct"/>
          </w:tcPr>
          <w:p w14:paraId="59A08A5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54.4</w:t>
            </w:r>
          </w:p>
        </w:tc>
      </w:tr>
      <w:tr w:rsidR="001460F0" w:rsidRPr="00214DA3" w14:paraId="7F17AF88" w14:textId="77777777" w:rsidTr="00157E06">
        <w:tc>
          <w:tcPr>
            <w:tcW w:w="3491" w:type="pct"/>
          </w:tcPr>
          <w:p w14:paraId="3D8C2A92"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Burlap sack</w:t>
            </w:r>
          </w:p>
        </w:tc>
        <w:tc>
          <w:tcPr>
            <w:tcW w:w="755" w:type="pct"/>
          </w:tcPr>
          <w:p w14:paraId="454A01A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105</w:t>
            </w:r>
          </w:p>
        </w:tc>
        <w:tc>
          <w:tcPr>
            <w:tcW w:w="755" w:type="pct"/>
          </w:tcPr>
          <w:p w14:paraId="432F0D2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17.8</w:t>
            </w:r>
          </w:p>
        </w:tc>
      </w:tr>
      <w:tr w:rsidR="001460F0" w:rsidRPr="00214DA3" w14:paraId="7F98941A" w14:textId="77777777" w:rsidTr="00157E06">
        <w:tc>
          <w:tcPr>
            <w:tcW w:w="3491" w:type="pct"/>
          </w:tcPr>
          <w:p w14:paraId="4AB600F9"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Woven basket</w:t>
            </w:r>
          </w:p>
        </w:tc>
        <w:tc>
          <w:tcPr>
            <w:tcW w:w="755" w:type="pct"/>
          </w:tcPr>
          <w:p w14:paraId="4350210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85</w:t>
            </w:r>
          </w:p>
        </w:tc>
        <w:tc>
          <w:tcPr>
            <w:tcW w:w="755" w:type="pct"/>
          </w:tcPr>
          <w:p w14:paraId="740F075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14.4</w:t>
            </w:r>
          </w:p>
        </w:tc>
      </w:tr>
      <w:tr w:rsidR="001460F0" w:rsidRPr="00214DA3" w14:paraId="3E06909C" w14:textId="77777777" w:rsidTr="00157E06">
        <w:tc>
          <w:tcPr>
            <w:tcW w:w="3491" w:type="pct"/>
          </w:tcPr>
          <w:p w14:paraId="1B769605"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Others</w:t>
            </w:r>
          </w:p>
        </w:tc>
        <w:tc>
          <w:tcPr>
            <w:tcW w:w="755" w:type="pct"/>
          </w:tcPr>
          <w:p w14:paraId="2F65F8F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79</w:t>
            </w:r>
          </w:p>
        </w:tc>
        <w:tc>
          <w:tcPr>
            <w:tcW w:w="755" w:type="pct"/>
          </w:tcPr>
          <w:p w14:paraId="760BCEB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13.4</w:t>
            </w:r>
          </w:p>
        </w:tc>
      </w:tr>
      <w:tr w:rsidR="001460F0" w:rsidRPr="00214DA3" w14:paraId="4E5C6887" w14:textId="77777777" w:rsidTr="00157E06">
        <w:tc>
          <w:tcPr>
            <w:tcW w:w="3491" w:type="pct"/>
          </w:tcPr>
          <w:p w14:paraId="1CE67ED3"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Storage Duration Before Marketing</w:t>
            </w:r>
          </w:p>
        </w:tc>
        <w:tc>
          <w:tcPr>
            <w:tcW w:w="755" w:type="pct"/>
          </w:tcPr>
          <w:p w14:paraId="519C2970" w14:textId="77777777" w:rsidR="001460F0" w:rsidRPr="00214DA3" w:rsidRDefault="001460F0" w:rsidP="009E0D55">
            <w:pPr>
              <w:jc w:val="center"/>
              <w:rPr>
                <w:rFonts w:cs="Times New Roman"/>
                <w:color w:val="000000" w:themeColor="text1"/>
                <w:szCs w:val="20"/>
              </w:rPr>
            </w:pPr>
          </w:p>
        </w:tc>
        <w:tc>
          <w:tcPr>
            <w:tcW w:w="755" w:type="pct"/>
          </w:tcPr>
          <w:p w14:paraId="6EEE7DC9" w14:textId="77777777" w:rsidR="001460F0" w:rsidRPr="00214DA3" w:rsidRDefault="001460F0" w:rsidP="009E0D55">
            <w:pPr>
              <w:jc w:val="center"/>
              <w:rPr>
                <w:rFonts w:cs="Times New Roman"/>
                <w:color w:val="000000" w:themeColor="text1"/>
                <w:szCs w:val="20"/>
              </w:rPr>
            </w:pPr>
          </w:p>
        </w:tc>
      </w:tr>
      <w:tr w:rsidR="001460F0" w:rsidRPr="00214DA3" w14:paraId="5C8A9725" w14:textId="77777777" w:rsidTr="00157E06">
        <w:tc>
          <w:tcPr>
            <w:tcW w:w="3491" w:type="pct"/>
          </w:tcPr>
          <w:p w14:paraId="4A22DB15"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1 week or less</w:t>
            </w:r>
          </w:p>
        </w:tc>
        <w:tc>
          <w:tcPr>
            <w:tcW w:w="755" w:type="pct"/>
          </w:tcPr>
          <w:p w14:paraId="363B9EE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208</w:t>
            </w:r>
          </w:p>
        </w:tc>
        <w:tc>
          <w:tcPr>
            <w:tcW w:w="755" w:type="pct"/>
          </w:tcPr>
          <w:p w14:paraId="284AE6F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35.3</w:t>
            </w:r>
          </w:p>
        </w:tc>
      </w:tr>
      <w:tr w:rsidR="001460F0" w:rsidRPr="00214DA3" w14:paraId="4A7DD3CA" w14:textId="77777777" w:rsidTr="00157E06">
        <w:tc>
          <w:tcPr>
            <w:tcW w:w="3491" w:type="pct"/>
          </w:tcPr>
          <w:p w14:paraId="4BD56059"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1 to 2 weeks</w:t>
            </w:r>
          </w:p>
        </w:tc>
        <w:tc>
          <w:tcPr>
            <w:tcW w:w="755" w:type="pct"/>
          </w:tcPr>
          <w:p w14:paraId="53DE247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144</w:t>
            </w:r>
          </w:p>
        </w:tc>
        <w:tc>
          <w:tcPr>
            <w:tcW w:w="755" w:type="pct"/>
          </w:tcPr>
          <w:p w14:paraId="0C2A369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24.4</w:t>
            </w:r>
          </w:p>
        </w:tc>
      </w:tr>
      <w:tr w:rsidR="001460F0" w:rsidRPr="00214DA3" w14:paraId="0B79C667" w14:textId="77777777" w:rsidTr="00157E06">
        <w:tc>
          <w:tcPr>
            <w:tcW w:w="3491" w:type="pct"/>
          </w:tcPr>
          <w:p w14:paraId="5832D368"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2 to 3 weeks</w:t>
            </w:r>
          </w:p>
        </w:tc>
        <w:tc>
          <w:tcPr>
            <w:tcW w:w="755" w:type="pct"/>
          </w:tcPr>
          <w:p w14:paraId="30E5339E"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25</w:t>
            </w:r>
          </w:p>
        </w:tc>
        <w:tc>
          <w:tcPr>
            <w:tcW w:w="755" w:type="pct"/>
          </w:tcPr>
          <w:p w14:paraId="63FA116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4.2</w:t>
            </w:r>
          </w:p>
        </w:tc>
      </w:tr>
      <w:tr w:rsidR="001460F0" w:rsidRPr="00214DA3" w14:paraId="198CE98D" w14:textId="77777777" w:rsidTr="00157E06">
        <w:tc>
          <w:tcPr>
            <w:tcW w:w="3491" w:type="pct"/>
          </w:tcPr>
          <w:p w14:paraId="59BD232D"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More than 3 weeks or months</w:t>
            </w:r>
          </w:p>
        </w:tc>
        <w:tc>
          <w:tcPr>
            <w:tcW w:w="755" w:type="pct"/>
          </w:tcPr>
          <w:p w14:paraId="47FB534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132</w:t>
            </w:r>
          </w:p>
        </w:tc>
        <w:tc>
          <w:tcPr>
            <w:tcW w:w="755" w:type="pct"/>
          </w:tcPr>
          <w:p w14:paraId="0FB7CF0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22.4</w:t>
            </w:r>
          </w:p>
        </w:tc>
      </w:tr>
      <w:tr w:rsidR="001460F0" w:rsidRPr="00214DA3" w14:paraId="391A0C81" w14:textId="77777777" w:rsidTr="00157E06">
        <w:tc>
          <w:tcPr>
            <w:tcW w:w="3491" w:type="pct"/>
          </w:tcPr>
          <w:p w14:paraId="4DE882B0"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No definite duration</w:t>
            </w:r>
          </w:p>
        </w:tc>
        <w:tc>
          <w:tcPr>
            <w:tcW w:w="755" w:type="pct"/>
          </w:tcPr>
          <w:p w14:paraId="6BEA8A2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81</w:t>
            </w:r>
          </w:p>
        </w:tc>
        <w:tc>
          <w:tcPr>
            <w:tcW w:w="755" w:type="pct"/>
          </w:tcPr>
          <w:p w14:paraId="1FC3E44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13.7</w:t>
            </w:r>
          </w:p>
        </w:tc>
      </w:tr>
      <w:tr w:rsidR="001460F0" w:rsidRPr="00214DA3" w14:paraId="360A4C3B" w14:textId="77777777" w:rsidTr="00157E06">
        <w:tc>
          <w:tcPr>
            <w:tcW w:w="3491" w:type="pct"/>
          </w:tcPr>
          <w:p w14:paraId="375E82F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Information Marked in Farm-Level Packaging</w:t>
            </w:r>
          </w:p>
        </w:tc>
        <w:tc>
          <w:tcPr>
            <w:tcW w:w="755" w:type="pct"/>
          </w:tcPr>
          <w:p w14:paraId="3FD3DA62" w14:textId="77777777" w:rsidR="001460F0" w:rsidRPr="00214DA3" w:rsidRDefault="001460F0" w:rsidP="009E0D55">
            <w:pPr>
              <w:jc w:val="center"/>
              <w:rPr>
                <w:rFonts w:cs="Times New Roman"/>
                <w:color w:val="000000" w:themeColor="text1"/>
                <w:szCs w:val="20"/>
              </w:rPr>
            </w:pPr>
          </w:p>
        </w:tc>
        <w:tc>
          <w:tcPr>
            <w:tcW w:w="755" w:type="pct"/>
          </w:tcPr>
          <w:p w14:paraId="3D6DBD77" w14:textId="77777777" w:rsidR="001460F0" w:rsidRPr="00214DA3" w:rsidRDefault="001460F0" w:rsidP="009E0D55">
            <w:pPr>
              <w:jc w:val="center"/>
              <w:rPr>
                <w:rFonts w:cs="Times New Roman"/>
                <w:color w:val="000000" w:themeColor="text1"/>
                <w:szCs w:val="20"/>
              </w:rPr>
            </w:pPr>
          </w:p>
        </w:tc>
      </w:tr>
      <w:tr w:rsidR="001460F0" w:rsidRPr="00214DA3" w14:paraId="0C308718" w14:textId="77777777" w:rsidTr="00157E06">
        <w:tc>
          <w:tcPr>
            <w:tcW w:w="3491" w:type="pct"/>
          </w:tcPr>
          <w:p w14:paraId="441B50A5"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Yes</w:t>
            </w:r>
          </w:p>
        </w:tc>
        <w:tc>
          <w:tcPr>
            <w:tcW w:w="755" w:type="pct"/>
          </w:tcPr>
          <w:p w14:paraId="66F1A24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165</w:t>
            </w:r>
          </w:p>
        </w:tc>
        <w:tc>
          <w:tcPr>
            <w:tcW w:w="755" w:type="pct"/>
          </w:tcPr>
          <w:p w14:paraId="5EEB83E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28.0</w:t>
            </w:r>
          </w:p>
        </w:tc>
      </w:tr>
      <w:tr w:rsidR="001460F0" w:rsidRPr="00214DA3" w14:paraId="67C783D6" w14:textId="77777777" w:rsidTr="00157E06">
        <w:tc>
          <w:tcPr>
            <w:tcW w:w="3491" w:type="pct"/>
          </w:tcPr>
          <w:p w14:paraId="3CBB6A74" w14:textId="77777777" w:rsidR="001460F0" w:rsidRPr="00214DA3" w:rsidRDefault="001460F0" w:rsidP="009E0D55">
            <w:pPr>
              <w:ind w:left="160"/>
              <w:rPr>
                <w:rFonts w:cs="Times New Roman"/>
                <w:color w:val="000000" w:themeColor="text1"/>
                <w:szCs w:val="20"/>
              </w:rPr>
            </w:pPr>
            <w:r w:rsidRPr="00214DA3">
              <w:rPr>
                <w:rFonts w:cs="Times New Roman"/>
                <w:color w:val="000000" w:themeColor="text1"/>
                <w:szCs w:val="20"/>
              </w:rPr>
              <w:t>No</w:t>
            </w:r>
          </w:p>
        </w:tc>
        <w:tc>
          <w:tcPr>
            <w:tcW w:w="755" w:type="pct"/>
          </w:tcPr>
          <w:p w14:paraId="7CEFA99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425</w:t>
            </w:r>
          </w:p>
        </w:tc>
        <w:tc>
          <w:tcPr>
            <w:tcW w:w="755" w:type="pct"/>
          </w:tcPr>
          <w:p w14:paraId="114A3B0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72.0</w:t>
            </w:r>
          </w:p>
        </w:tc>
      </w:tr>
    </w:tbl>
    <w:p w14:paraId="3B3EF71F" w14:textId="77777777" w:rsidR="001460F0" w:rsidRPr="00C664C7" w:rsidRDefault="001460F0" w:rsidP="001460F0">
      <w:pPr>
        <w:spacing w:after="0" w:line="480" w:lineRule="auto"/>
        <w:jc w:val="both"/>
        <w:rPr>
          <w:rFonts w:cs="Times New Roman"/>
          <w:color w:val="000000" w:themeColor="text1"/>
          <w:szCs w:val="20"/>
        </w:rPr>
      </w:pPr>
    </w:p>
    <w:p w14:paraId="63711332" w14:textId="1482328A" w:rsidR="0062243F" w:rsidRPr="00C664C7" w:rsidRDefault="0062243F"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Storage practices also highlight</w:t>
      </w:r>
      <w:r w:rsidR="006D1595">
        <w:rPr>
          <w:rFonts w:cs="Times New Roman"/>
          <w:color w:val="000000" w:themeColor="text1"/>
          <w:szCs w:val="20"/>
        </w:rPr>
        <w:t>ed</w:t>
      </w:r>
      <w:r w:rsidRPr="00C664C7">
        <w:rPr>
          <w:rFonts w:cs="Times New Roman"/>
          <w:color w:val="000000" w:themeColor="text1"/>
          <w:szCs w:val="20"/>
        </w:rPr>
        <w:t xml:space="preserve"> key post-harvest constraints</w:t>
      </w:r>
      <w:r w:rsidR="00F35C80" w:rsidRPr="00C664C7">
        <w:rPr>
          <w:rFonts w:cs="Times New Roman"/>
          <w:color w:val="000000" w:themeColor="text1"/>
          <w:szCs w:val="20"/>
        </w:rPr>
        <w:t xml:space="preserve"> among respondents. </w:t>
      </w:r>
      <w:r w:rsidRPr="00C664C7">
        <w:rPr>
          <w:rFonts w:cs="Times New Roman"/>
          <w:color w:val="000000" w:themeColor="text1"/>
          <w:szCs w:val="20"/>
        </w:rPr>
        <w:t xml:space="preserve">Although 64.7% of respondents reported having storage facilities, a substantial 35.3% had none. </w:t>
      </w:r>
      <w:r w:rsidR="00F35C80" w:rsidRPr="00C664C7">
        <w:rPr>
          <w:rFonts w:cs="Times New Roman"/>
          <w:color w:val="000000" w:themeColor="text1"/>
          <w:szCs w:val="20"/>
        </w:rPr>
        <w:t>T</w:t>
      </w:r>
      <w:r w:rsidRPr="00C664C7">
        <w:rPr>
          <w:rFonts w:cs="Times New Roman"/>
          <w:color w:val="000000" w:themeColor="text1"/>
          <w:szCs w:val="20"/>
        </w:rPr>
        <w:t xml:space="preserve">he most commonly used </w:t>
      </w:r>
      <w:r w:rsidR="00F35C80" w:rsidRPr="00C664C7">
        <w:rPr>
          <w:rFonts w:cs="Times New Roman"/>
          <w:color w:val="000000" w:themeColor="text1"/>
          <w:szCs w:val="20"/>
        </w:rPr>
        <w:t xml:space="preserve">storage materials were plastic sacks </w:t>
      </w:r>
      <w:r w:rsidRPr="00C664C7">
        <w:rPr>
          <w:rFonts w:cs="Times New Roman"/>
          <w:color w:val="000000" w:themeColor="text1"/>
          <w:szCs w:val="20"/>
        </w:rPr>
        <w:t xml:space="preserve">(54.4%), burlap sacks (17.8%), woven baskets (14.4%), and other materials (13.4%). </w:t>
      </w:r>
      <w:r w:rsidR="00F35C80" w:rsidRPr="00C664C7">
        <w:rPr>
          <w:rFonts w:cs="Times New Roman"/>
          <w:color w:val="000000" w:themeColor="text1"/>
          <w:szCs w:val="20"/>
        </w:rPr>
        <w:t>In terms of s</w:t>
      </w:r>
      <w:r w:rsidRPr="00C664C7">
        <w:rPr>
          <w:rFonts w:cs="Times New Roman"/>
          <w:color w:val="000000" w:themeColor="text1"/>
          <w:szCs w:val="20"/>
        </w:rPr>
        <w:t>torage duration before marketing</w:t>
      </w:r>
      <w:r w:rsidR="00112FA9" w:rsidRPr="00C664C7">
        <w:rPr>
          <w:rFonts w:cs="Times New Roman"/>
          <w:color w:val="000000" w:themeColor="text1"/>
          <w:szCs w:val="20"/>
        </w:rPr>
        <w:t xml:space="preserve">, </w:t>
      </w:r>
      <w:r w:rsidRPr="00C664C7">
        <w:rPr>
          <w:rFonts w:cs="Times New Roman"/>
          <w:color w:val="000000" w:themeColor="text1"/>
          <w:szCs w:val="20"/>
        </w:rPr>
        <w:t xml:space="preserve">35.3% </w:t>
      </w:r>
      <w:r w:rsidR="00112FA9" w:rsidRPr="00C664C7">
        <w:rPr>
          <w:rFonts w:cs="Times New Roman"/>
          <w:color w:val="000000" w:themeColor="text1"/>
          <w:szCs w:val="20"/>
        </w:rPr>
        <w:t xml:space="preserve">of the respondents </w:t>
      </w:r>
      <w:r w:rsidRPr="00C664C7">
        <w:rPr>
          <w:rFonts w:cs="Times New Roman"/>
          <w:color w:val="000000" w:themeColor="text1"/>
          <w:szCs w:val="20"/>
        </w:rPr>
        <w:t xml:space="preserve">stored salt for one week or less, 24.4% for one to two weeks, 4.2% for two to three weeks, 22.4% for more than three weeks or months, and 13.7% reported no definite storage duration. </w:t>
      </w:r>
      <w:r w:rsidR="00112FA9" w:rsidRPr="00C664C7">
        <w:rPr>
          <w:rFonts w:cs="Times New Roman"/>
          <w:color w:val="000000" w:themeColor="text1"/>
          <w:szCs w:val="20"/>
        </w:rPr>
        <w:t>S</w:t>
      </w:r>
      <w:r w:rsidRPr="00C664C7">
        <w:rPr>
          <w:rFonts w:cs="Times New Roman"/>
          <w:color w:val="000000" w:themeColor="text1"/>
          <w:szCs w:val="20"/>
        </w:rPr>
        <w:t>torage duration was recorded as categorical responses rather than exact numbers of day</w:t>
      </w:r>
      <w:r w:rsidR="00112FA9" w:rsidRPr="00C664C7">
        <w:rPr>
          <w:rFonts w:cs="Times New Roman"/>
          <w:color w:val="000000" w:themeColor="text1"/>
          <w:szCs w:val="20"/>
        </w:rPr>
        <w:t xml:space="preserve">s; hence, </w:t>
      </w:r>
      <w:r w:rsidRPr="00C664C7">
        <w:rPr>
          <w:rFonts w:cs="Times New Roman"/>
          <w:color w:val="000000" w:themeColor="text1"/>
          <w:szCs w:val="20"/>
        </w:rPr>
        <w:t>these values should</w:t>
      </w:r>
      <w:r w:rsidR="00F35C80" w:rsidRPr="00C664C7">
        <w:rPr>
          <w:rFonts w:cs="Times New Roman"/>
          <w:color w:val="000000" w:themeColor="text1"/>
          <w:szCs w:val="20"/>
        </w:rPr>
        <w:t xml:space="preserve"> </w:t>
      </w:r>
      <w:r w:rsidRPr="00C664C7">
        <w:rPr>
          <w:rFonts w:cs="Times New Roman"/>
          <w:color w:val="000000" w:themeColor="text1"/>
          <w:szCs w:val="20"/>
        </w:rPr>
        <w:t>be interpreted as survey categories rather than precise continuous measurements.</w:t>
      </w:r>
    </w:p>
    <w:p w14:paraId="1250F576" w14:textId="26E26B03" w:rsidR="00AA1700" w:rsidRPr="00C664C7" w:rsidRDefault="00621561" w:rsidP="00193DD3">
      <w:pPr>
        <w:pStyle w:val="Heading2"/>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 xml:space="preserve">Primary </w:t>
      </w:r>
      <w:r w:rsidR="00193DD3" w:rsidRPr="00C664C7">
        <w:rPr>
          <w:rFonts w:ascii="Times New Roman" w:hAnsi="Times New Roman" w:cs="Times New Roman"/>
          <w:color w:val="000000" w:themeColor="text1"/>
          <w:sz w:val="20"/>
          <w:szCs w:val="20"/>
        </w:rPr>
        <w:t>Constraints in Production, Processing, Distribution, and Marketing</w:t>
      </w:r>
    </w:p>
    <w:p w14:paraId="46E57912" w14:textId="141F3D11" w:rsidR="00AA1700" w:rsidRDefault="009D69C4"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Tables 5 and 6 present the primary problem</w:t>
      </w:r>
      <w:r w:rsidR="006D1595">
        <w:rPr>
          <w:rFonts w:cs="Times New Roman"/>
          <w:color w:val="000000" w:themeColor="text1"/>
          <w:szCs w:val="20"/>
        </w:rPr>
        <w:t>s</w:t>
      </w:r>
      <w:r w:rsidRPr="00C664C7">
        <w:rPr>
          <w:rFonts w:cs="Times New Roman"/>
          <w:color w:val="000000" w:themeColor="text1"/>
          <w:szCs w:val="20"/>
        </w:rPr>
        <w:t xml:space="preserve"> reported by each respondent. </w:t>
      </w:r>
      <w:r w:rsidR="007F5170" w:rsidRPr="00C664C7">
        <w:rPr>
          <w:rFonts w:cs="Times New Roman"/>
          <w:color w:val="000000" w:themeColor="text1"/>
          <w:szCs w:val="20"/>
        </w:rPr>
        <w:t>The c</w:t>
      </w:r>
      <w:r w:rsidRPr="00C664C7">
        <w:rPr>
          <w:rFonts w:cs="Times New Roman"/>
          <w:color w:val="000000" w:themeColor="text1"/>
          <w:szCs w:val="20"/>
        </w:rPr>
        <w:t xml:space="preserve">ategories are mutually exclusive because each respondent was coded </w:t>
      </w:r>
      <w:r w:rsidR="006D1595">
        <w:rPr>
          <w:rFonts w:cs="Times New Roman"/>
          <w:color w:val="000000" w:themeColor="text1"/>
          <w:szCs w:val="20"/>
        </w:rPr>
        <w:t xml:space="preserve">according </w:t>
      </w:r>
      <w:r w:rsidR="0062243F" w:rsidRPr="00C664C7">
        <w:rPr>
          <w:rFonts w:cs="Times New Roman"/>
          <w:color w:val="000000" w:themeColor="text1"/>
          <w:szCs w:val="20"/>
        </w:rPr>
        <w:t>to</w:t>
      </w:r>
      <w:r w:rsidRPr="00C664C7">
        <w:rPr>
          <w:rFonts w:cs="Times New Roman"/>
          <w:color w:val="000000" w:themeColor="text1"/>
          <w:szCs w:val="20"/>
        </w:rPr>
        <w:t xml:space="preserve"> the most salient problem </w:t>
      </w:r>
      <w:r w:rsidR="0062243F" w:rsidRPr="00C664C7">
        <w:rPr>
          <w:rFonts w:cs="Times New Roman"/>
          <w:color w:val="000000" w:themeColor="text1"/>
          <w:szCs w:val="20"/>
        </w:rPr>
        <w:t>with</w:t>
      </w:r>
      <w:r w:rsidRPr="00C664C7">
        <w:rPr>
          <w:rFonts w:cs="Times New Roman"/>
          <w:color w:val="000000" w:themeColor="text1"/>
          <w:szCs w:val="20"/>
        </w:rPr>
        <w:t xml:space="preserve">in each domain. </w:t>
      </w:r>
      <w:r w:rsidR="007F5170" w:rsidRPr="00C664C7">
        <w:rPr>
          <w:rFonts w:cs="Times New Roman"/>
          <w:color w:val="000000" w:themeColor="text1"/>
          <w:szCs w:val="20"/>
        </w:rPr>
        <w:t>In this study, c</w:t>
      </w:r>
      <w:r w:rsidRPr="00C664C7">
        <w:rPr>
          <w:rFonts w:cs="Times New Roman"/>
          <w:color w:val="000000" w:themeColor="text1"/>
          <w:szCs w:val="20"/>
        </w:rPr>
        <w:t>limate- and weather-related production risks refer to direct weather hazards such as untimely rainfall, typhoons, and rainfall-induced disruptions to evaporation and crystallization. By contrast, seasonality and operational vulnerability refer to the short production window and operational stoppages associated with seasonal production limits. Location- and site-related constraints include broad site suitability issues such as flood exposure, land-use conflict, or difficult access. In marketing, inconsistent pricing, weak bargaining power, and the absence of a standardized pricing system were kept as separate categories because they refer, respectively, to price fluctuations, the producer's limited negotiating position, and the lack of a formal or commonly accepted pricing reference. </w:t>
      </w:r>
    </w:p>
    <w:p w14:paraId="1B2BC3D2" w14:textId="77777777" w:rsidR="001460F0" w:rsidRPr="00157E06" w:rsidRDefault="001460F0" w:rsidP="001460F0">
      <w:pPr>
        <w:spacing w:after="0" w:line="240" w:lineRule="auto"/>
        <w:rPr>
          <w:rFonts w:cs="Times New Roman"/>
          <w:color w:val="000000" w:themeColor="text1"/>
          <w:sz w:val="18"/>
          <w:szCs w:val="18"/>
        </w:rPr>
      </w:pPr>
      <w:r w:rsidRPr="00157E06">
        <w:rPr>
          <w:rFonts w:cs="Times New Roman"/>
          <w:b/>
          <w:color w:val="000000" w:themeColor="text1"/>
          <w:sz w:val="18"/>
          <w:szCs w:val="18"/>
        </w:rPr>
        <w:t xml:space="preserve">Table 5. </w:t>
      </w:r>
      <w:r w:rsidRPr="00157E06">
        <w:rPr>
          <w:rFonts w:cs="Times New Roman"/>
          <w:bCs/>
          <w:color w:val="000000" w:themeColor="text1"/>
          <w:sz w:val="18"/>
          <w:szCs w:val="18"/>
        </w:rPr>
        <w:t>Primary problems reported in salt production and processing.</w:t>
      </w:r>
    </w:p>
    <w:tbl>
      <w:tblPr>
        <w:tblStyle w:val="TableGrid"/>
        <w:tblW w:w="0" w:type="auto"/>
        <w:tblLook w:val="04A0" w:firstRow="1" w:lastRow="0" w:firstColumn="1" w:lastColumn="0" w:noHBand="0" w:noVBand="1"/>
      </w:tblPr>
      <w:tblGrid>
        <w:gridCol w:w="5904"/>
        <w:gridCol w:w="1061"/>
        <w:gridCol w:w="1152"/>
      </w:tblGrid>
      <w:tr w:rsidR="001460F0" w:rsidRPr="00214DA3" w14:paraId="0A3794AD" w14:textId="77777777" w:rsidTr="009E0D55">
        <w:tc>
          <w:tcPr>
            <w:tcW w:w="5904" w:type="dxa"/>
          </w:tcPr>
          <w:p w14:paraId="79040CE1"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Primary problem reported: production and processing</w:t>
            </w:r>
          </w:p>
        </w:tc>
        <w:tc>
          <w:tcPr>
            <w:tcW w:w="1008" w:type="dxa"/>
          </w:tcPr>
          <w:p w14:paraId="2B6EF96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Frequency</w:t>
            </w:r>
          </w:p>
        </w:tc>
        <w:tc>
          <w:tcPr>
            <w:tcW w:w="1152" w:type="dxa"/>
          </w:tcPr>
          <w:p w14:paraId="5B63441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Percent</w:t>
            </w:r>
          </w:p>
        </w:tc>
      </w:tr>
      <w:tr w:rsidR="001460F0" w:rsidRPr="00214DA3" w14:paraId="27C95703" w14:textId="77777777" w:rsidTr="009E0D55">
        <w:tc>
          <w:tcPr>
            <w:tcW w:w="5904" w:type="dxa"/>
          </w:tcPr>
          <w:p w14:paraId="114F696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Climate- and weather-related production risks</w:t>
            </w:r>
          </w:p>
        </w:tc>
        <w:tc>
          <w:tcPr>
            <w:tcW w:w="1008" w:type="dxa"/>
          </w:tcPr>
          <w:p w14:paraId="2E8C0D0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374</w:t>
            </w:r>
          </w:p>
        </w:tc>
        <w:tc>
          <w:tcPr>
            <w:tcW w:w="1152" w:type="dxa"/>
          </w:tcPr>
          <w:p w14:paraId="4DDCB99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63.39</w:t>
            </w:r>
          </w:p>
        </w:tc>
      </w:tr>
      <w:tr w:rsidR="001460F0" w:rsidRPr="00214DA3" w14:paraId="2A18B3BA" w14:textId="77777777" w:rsidTr="009E0D55">
        <w:tc>
          <w:tcPr>
            <w:tcW w:w="5904" w:type="dxa"/>
          </w:tcPr>
          <w:p w14:paraId="721BD08C"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Increased production costs</w:t>
            </w:r>
          </w:p>
        </w:tc>
        <w:tc>
          <w:tcPr>
            <w:tcW w:w="1008" w:type="dxa"/>
          </w:tcPr>
          <w:p w14:paraId="301C8F7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99</w:t>
            </w:r>
          </w:p>
        </w:tc>
        <w:tc>
          <w:tcPr>
            <w:tcW w:w="1152" w:type="dxa"/>
          </w:tcPr>
          <w:p w14:paraId="52B94F01"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16.78</w:t>
            </w:r>
          </w:p>
        </w:tc>
      </w:tr>
      <w:tr w:rsidR="001460F0" w:rsidRPr="00214DA3" w14:paraId="7D7E6BBB" w14:textId="77777777" w:rsidTr="009E0D55">
        <w:tc>
          <w:tcPr>
            <w:tcW w:w="5904" w:type="dxa"/>
          </w:tcPr>
          <w:p w14:paraId="10B3C2A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Seasonality and operational vulnerability</w:t>
            </w:r>
          </w:p>
        </w:tc>
        <w:tc>
          <w:tcPr>
            <w:tcW w:w="1008" w:type="dxa"/>
          </w:tcPr>
          <w:p w14:paraId="5B3F89E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55</w:t>
            </w:r>
          </w:p>
        </w:tc>
        <w:tc>
          <w:tcPr>
            <w:tcW w:w="1152" w:type="dxa"/>
          </w:tcPr>
          <w:p w14:paraId="2F9B8D09"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9.32</w:t>
            </w:r>
          </w:p>
        </w:tc>
      </w:tr>
      <w:tr w:rsidR="001460F0" w:rsidRPr="00214DA3" w14:paraId="70AEEA79" w14:textId="77777777" w:rsidTr="009E0D55">
        <w:tc>
          <w:tcPr>
            <w:tcW w:w="5904" w:type="dxa"/>
          </w:tcPr>
          <w:p w14:paraId="75F7E07D"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Location and site-related constraints</w:t>
            </w:r>
          </w:p>
        </w:tc>
        <w:tc>
          <w:tcPr>
            <w:tcW w:w="1008" w:type="dxa"/>
          </w:tcPr>
          <w:p w14:paraId="416C097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39</w:t>
            </w:r>
          </w:p>
        </w:tc>
        <w:tc>
          <w:tcPr>
            <w:tcW w:w="1152" w:type="dxa"/>
          </w:tcPr>
          <w:p w14:paraId="68B4871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6.61</w:t>
            </w:r>
          </w:p>
        </w:tc>
      </w:tr>
      <w:tr w:rsidR="001460F0" w:rsidRPr="00214DA3" w14:paraId="37715D76" w14:textId="77777777" w:rsidTr="009E0D55">
        <w:tc>
          <w:tcPr>
            <w:tcW w:w="5904" w:type="dxa"/>
          </w:tcPr>
          <w:p w14:paraId="0166067E"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No significant problem reported</w:t>
            </w:r>
          </w:p>
        </w:tc>
        <w:tc>
          <w:tcPr>
            <w:tcW w:w="1008" w:type="dxa"/>
          </w:tcPr>
          <w:p w14:paraId="4213BDDB"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23</w:t>
            </w:r>
          </w:p>
        </w:tc>
        <w:tc>
          <w:tcPr>
            <w:tcW w:w="1152" w:type="dxa"/>
          </w:tcPr>
          <w:p w14:paraId="0A67493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3.90</w:t>
            </w:r>
          </w:p>
        </w:tc>
      </w:tr>
      <w:tr w:rsidR="001460F0" w:rsidRPr="00214DA3" w14:paraId="76EFC5D4" w14:textId="77777777" w:rsidTr="009E0D55">
        <w:tc>
          <w:tcPr>
            <w:tcW w:w="5904" w:type="dxa"/>
          </w:tcPr>
          <w:p w14:paraId="131B4978"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Total</w:t>
            </w:r>
          </w:p>
        </w:tc>
        <w:tc>
          <w:tcPr>
            <w:tcW w:w="1008" w:type="dxa"/>
          </w:tcPr>
          <w:p w14:paraId="18DE2CA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590</w:t>
            </w:r>
          </w:p>
        </w:tc>
        <w:tc>
          <w:tcPr>
            <w:tcW w:w="1152" w:type="dxa"/>
          </w:tcPr>
          <w:p w14:paraId="1E63D50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100.00</w:t>
            </w:r>
          </w:p>
        </w:tc>
      </w:tr>
    </w:tbl>
    <w:p w14:paraId="67854BE0" w14:textId="77777777" w:rsidR="001460F0" w:rsidRPr="00214DA3" w:rsidRDefault="001460F0" w:rsidP="001460F0">
      <w:pPr>
        <w:spacing w:after="0" w:line="240" w:lineRule="auto"/>
        <w:rPr>
          <w:rFonts w:cs="Times New Roman"/>
          <w:b/>
          <w:color w:val="000000" w:themeColor="text1"/>
          <w:szCs w:val="20"/>
        </w:rPr>
      </w:pPr>
    </w:p>
    <w:p w14:paraId="7FBCC5EF" w14:textId="77777777" w:rsidR="001460F0" w:rsidRPr="00157E06" w:rsidRDefault="001460F0" w:rsidP="001460F0">
      <w:pPr>
        <w:spacing w:after="0" w:line="240" w:lineRule="auto"/>
        <w:rPr>
          <w:rFonts w:cs="Times New Roman"/>
          <w:bCs/>
          <w:color w:val="000000" w:themeColor="text1"/>
          <w:sz w:val="18"/>
          <w:szCs w:val="18"/>
        </w:rPr>
      </w:pPr>
      <w:r w:rsidRPr="00157E06">
        <w:rPr>
          <w:rFonts w:cs="Times New Roman"/>
          <w:b/>
          <w:color w:val="000000" w:themeColor="text1"/>
          <w:sz w:val="18"/>
          <w:szCs w:val="18"/>
        </w:rPr>
        <w:t xml:space="preserve">Table 6. </w:t>
      </w:r>
      <w:r w:rsidRPr="00157E06">
        <w:rPr>
          <w:rFonts w:cs="Times New Roman"/>
          <w:bCs/>
          <w:color w:val="000000" w:themeColor="text1"/>
          <w:sz w:val="18"/>
          <w:szCs w:val="18"/>
        </w:rPr>
        <w:t>Primary problems reported in salt distribution and marketing.</w:t>
      </w:r>
    </w:p>
    <w:tbl>
      <w:tblPr>
        <w:tblStyle w:val="TableGrid"/>
        <w:tblW w:w="0" w:type="auto"/>
        <w:tblLook w:val="04A0" w:firstRow="1" w:lastRow="0" w:firstColumn="1" w:lastColumn="0" w:noHBand="0" w:noVBand="1"/>
      </w:tblPr>
      <w:tblGrid>
        <w:gridCol w:w="5904"/>
        <w:gridCol w:w="1061"/>
        <w:gridCol w:w="1152"/>
      </w:tblGrid>
      <w:tr w:rsidR="001460F0" w:rsidRPr="00214DA3" w14:paraId="70AEAD20" w14:textId="77777777" w:rsidTr="009E0D55">
        <w:tc>
          <w:tcPr>
            <w:tcW w:w="5904" w:type="dxa"/>
          </w:tcPr>
          <w:p w14:paraId="080261CE" w14:textId="77777777" w:rsidR="001460F0" w:rsidRPr="00214DA3" w:rsidRDefault="001460F0" w:rsidP="009E0D55">
            <w:pPr>
              <w:jc w:val="center"/>
              <w:rPr>
                <w:rFonts w:cs="Times New Roman"/>
                <w:color w:val="000000" w:themeColor="text1"/>
                <w:szCs w:val="20"/>
              </w:rPr>
            </w:pPr>
            <w:r w:rsidRPr="00214DA3">
              <w:rPr>
                <w:rFonts w:cs="Times New Roman"/>
                <w:b/>
                <w:color w:val="000000" w:themeColor="text1"/>
                <w:szCs w:val="20"/>
              </w:rPr>
              <w:t>Primary problem reported: distribution and marketing</w:t>
            </w:r>
          </w:p>
        </w:tc>
        <w:tc>
          <w:tcPr>
            <w:tcW w:w="1008" w:type="dxa"/>
          </w:tcPr>
          <w:p w14:paraId="5E6ED89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Frequency</w:t>
            </w:r>
          </w:p>
        </w:tc>
        <w:tc>
          <w:tcPr>
            <w:tcW w:w="1152" w:type="dxa"/>
          </w:tcPr>
          <w:p w14:paraId="5D7871B2"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Percent</w:t>
            </w:r>
          </w:p>
        </w:tc>
      </w:tr>
      <w:tr w:rsidR="001460F0" w:rsidRPr="00214DA3" w14:paraId="7FB63A14" w14:textId="77777777" w:rsidTr="009E0D55">
        <w:tc>
          <w:tcPr>
            <w:tcW w:w="5904" w:type="dxa"/>
          </w:tcPr>
          <w:p w14:paraId="7834A14D"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Inadequate access to large-scale distribution channels</w:t>
            </w:r>
          </w:p>
        </w:tc>
        <w:tc>
          <w:tcPr>
            <w:tcW w:w="1008" w:type="dxa"/>
          </w:tcPr>
          <w:p w14:paraId="161D10C5"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283</w:t>
            </w:r>
          </w:p>
        </w:tc>
        <w:tc>
          <w:tcPr>
            <w:tcW w:w="1152" w:type="dxa"/>
          </w:tcPr>
          <w:p w14:paraId="74190A8A"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47.97</w:t>
            </w:r>
          </w:p>
        </w:tc>
      </w:tr>
      <w:tr w:rsidR="001460F0" w:rsidRPr="00214DA3" w14:paraId="4883AC9D" w14:textId="77777777" w:rsidTr="009E0D55">
        <w:tc>
          <w:tcPr>
            <w:tcW w:w="5904" w:type="dxa"/>
          </w:tcPr>
          <w:p w14:paraId="0CDF0B7A"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Inconsistent pricing and unstable profit margins</w:t>
            </w:r>
          </w:p>
        </w:tc>
        <w:tc>
          <w:tcPr>
            <w:tcW w:w="1008" w:type="dxa"/>
          </w:tcPr>
          <w:p w14:paraId="63C804A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188</w:t>
            </w:r>
          </w:p>
        </w:tc>
        <w:tc>
          <w:tcPr>
            <w:tcW w:w="1152" w:type="dxa"/>
          </w:tcPr>
          <w:p w14:paraId="0B68A4B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31.86</w:t>
            </w:r>
          </w:p>
        </w:tc>
      </w:tr>
      <w:tr w:rsidR="001460F0" w:rsidRPr="00214DA3" w14:paraId="38D23A6D" w14:textId="77777777" w:rsidTr="009E0D55">
        <w:tc>
          <w:tcPr>
            <w:tcW w:w="5904" w:type="dxa"/>
          </w:tcPr>
          <w:p w14:paraId="7E81DC59"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Weak bargaining power against buyers</w:t>
            </w:r>
          </w:p>
        </w:tc>
        <w:tc>
          <w:tcPr>
            <w:tcW w:w="1008" w:type="dxa"/>
          </w:tcPr>
          <w:p w14:paraId="56EF2FF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w:t>
            </w:r>
          </w:p>
        </w:tc>
        <w:tc>
          <w:tcPr>
            <w:tcW w:w="1152" w:type="dxa"/>
          </w:tcPr>
          <w:p w14:paraId="310F7397"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5.59</w:t>
            </w:r>
          </w:p>
        </w:tc>
      </w:tr>
      <w:tr w:rsidR="001460F0" w:rsidRPr="00214DA3" w14:paraId="58B8F439" w14:textId="77777777" w:rsidTr="009E0D55">
        <w:tc>
          <w:tcPr>
            <w:tcW w:w="5904" w:type="dxa"/>
          </w:tcPr>
          <w:p w14:paraId="741847E1"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No significant problem reported</w:t>
            </w:r>
          </w:p>
        </w:tc>
        <w:tc>
          <w:tcPr>
            <w:tcW w:w="1008" w:type="dxa"/>
          </w:tcPr>
          <w:p w14:paraId="628A6C3C"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w:t>
            </w:r>
          </w:p>
        </w:tc>
        <w:tc>
          <w:tcPr>
            <w:tcW w:w="1152" w:type="dxa"/>
          </w:tcPr>
          <w:p w14:paraId="73673068"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5.59</w:t>
            </w:r>
          </w:p>
        </w:tc>
      </w:tr>
      <w:tr w:rsidR="001460F0" w:rsidRPr="00214DA3" w14:paraId="41FBD363" w14:textId="77777777" w:rsidTr="009E0D55">
        <w:tc>
          <w:tcPr>
            <w:tcW w:w="5904" w:type="dxa"/>
          </w:tcPr>
          <w:p w14:paraId="4A7E2505"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High transport costs</w:t>
            </w:r>
          </w:p>
        </w:tc>
        <w:tc>
          <w:tcPr>
            <w:tcW w:w="1008" w:type="dxa"/>
          </w:tcPr>
          <w:p w14:paraId="645F036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25</w:t>
            </w:r>
          </w:p>
        </w:tc>
        <w:tc>
          <w:tcPr>
            <w:tcW w:w="1152" w:type="dxa"/>
          </w:tcPr>
          <w:p w14:paraId="2C11CD4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4.24</w:t>
            </w:r>
          </w:p>
        </w:tc>
      </w:tr>
      <w:tr w:rsidR="001460F0" w:rsidRPr="00214DA3" w14:paraId="78348368" w14:textId="77777777" w:rsidTr="009E0D55">
        <w:tc>
          <w:tcPr>
            <w:tcW w:w="5904" w:type="dxa"/>
          </w:tcPr>
          <w:p w14:paraId="74E94D36"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Absence of standardized pricing system</w:t>
            </w:r>
          </w:p>
        </w:tc>
        <w:tc>
          <w:tcPr>
            <w:tcW w:w="1008" w:type="dxa"/>
          </w:tcPr>
          <w:p w14:paraId="3543FF10"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20</w:t>
            </w:r>
          </w:p>
        </w:tc>
        <w:tc>
          <w:tcPr>
            <w:tcW w:w="1152" w:type="dxa"/>
          </w:tcPr>
          <w:p w14:paraId="0C9CD8C4"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3.39</w:t>
            </w:r>
          </w:p>
        </w:tc>
      </w:tr>
      <w:tr w:rsidR="001460F0" w:rsidRPr="00214DA3" w14:paraId="4F1A57DA" w14:textId="77777777" w:rsidTr="009E0D55">
        <w:tc>
          <w:tcPr>
            <w:tcW w:w="5904" w:type="dxa"/>
          </w:tcPr>
          <w:p w14:paraId="11A2336E"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Vulnerability to local economic conditions and regional oversupply</w:t>
            </w:r>
          </w:p>
        </w:tc>
        <w:tc>
          <w:tcPr>
            <w:tcW w:w="1008" w:type="dxa"/>
          </w:tcPr>
          <w:p w14:paraId="169BC62D"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8</w:t>
            </w:r>
          </w:p>
        </w:tc>
        <w:tc>
          <w:tcPr>
            <w:tcW w:w="1152" w:type="dxa"/>
          </w:tcPr>
          <w:p w14:paraId="710E5D33"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1.36</w:t>
            </w:r>
          </w:p>
        </w:tc>
      </w:tr>
      <w:tr w:rsidR="001460F0" w:rsidRPr="00214DA3" w14:paraId="67C4C9D2" w14:textId="77777777" w:rsidTr="009E0D55">
        <w:tc>
          <w:tcPr>
            <w:tcW w:w="5904" w:type="dxa"/>
          </w:tcPr>
          <w:p w14:paraId="40A91672" w14:textId="77777777" w:rsidR="001460F0" w:rsidRPr="00214DA3" w:rsidRDefault="001460F0" w:rsidP="009E0D55">
            <w:pPr>
              <w:rPr>
                <w:rFonts w:cs="Times New Roman"/>
                <w:color w:val="000000" w:themeColor="text1"/>
                <w:szCs w:val="20"/>
              </w:rPr>
            </w:pPr>
            <w:r w:rsidRPr="00214DA3">
              <w:rPr>
                <w:rFonts w:cs="Times New Roman"/>
                <w:color w:val="000000" w:themeColor="text1"/>
                <w:szCs w:val="20"/>
              </w:rPr>
              <w:t>Total</w:t>
            </w:r>
          </w:p>
        </w:tc>
        <w:tc>
          <w:tcPr>
            <w:tcW w:w="1008" w:type="dxa"/>
          </w:tcPr>
          <w:p w14:paraId="31CEDB7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590</w:t>
            </w:r>
          </w:p>
        </w:tc>
        <w:tc>
          <w:tcPr>
            <w:tcW w:w="1152" w:type="dxa"/>
          </w:tcPr>
          <w:p w14:paraId="67C766EF" w14:textId="77777777" w:rsidR="001460F0" w:rsidRPr="00214DA3" w:rsidRDefault="001460F0" w:rsidP="009E0D55">
            <w:pPr>
              <w:jc w:val="center"/>
              <w:rPr>
                <w:rFonts w:cs="Times New Roman"/>
                <w:color w:val="000000" w:themeColor="text1"/>
                <w:szCs w:val="20"/>
              </w:rPr>
            </w:pPr>
            <w:r w:rsidRPr="00214DA3">
              <w:rPr>
                <w:rFonts w:cs="Times New Roman"/>
                <w:color w:val="000000" w:themeColor="text1"/>
                <w:szCs w:val="20"/>
              </w:rPr>
              <w:t>100.00</w:t>
            </w:r>
          </w:p>
        </w:tc>
      </w:tr>
    </w:tbl>
    <w:p w14:paraId="3BF72A66" w14:textId="77777777" w:rsidR="001460F0" w:rsidRPr="00C664C7" w:rsidRDefault="001460F0" w:rsidP="001460F0">
      <w:pPr>
        <w:spacing w:after="0" w:line="480" w:lineRule="auto"/>
        <w:jc w:val="both"/>
        <w:rPr>
          <w:rFonts w:cs="Times New Roman"/>
          <w:color w:val="000000" w:themeColor="text1"/>
          <w:szCs w:val="20"/>
        </w:rPr>
      </w:pPr>
    </w:p>
    <w:p w14:paraId="6C629322" w14:textId="0C808A6B" w:rsidR="00AA1700" w:rsidRPr="00C664C7" w:rsidRDefault="00C86003" w:rsidP="00193DD3">
      <w:pPr>
        <w:spacing w:after="0" w:line="480" w:lineRule="auto"/>
        <w:ind w:firstLine="567"/>
        <w:jc w:val="both"/>
        <w:rPr>
          <w:rFonts w:cs="Times New Roman"/>
          <w:color w:val="000000" w:themeColor="text1"/>
          <w:szCs w:val="20"/>
        </w:rPr>
      </w:pPr>
      <w:r w:rsidRPr="00C664C7">
        <w:rPr>
          <w:rFonts w:cs="Times New Roman"/>
          <w:color w:val="000000" w:themeColor="text1"/>
          <w:szCs w:val="20"/>
        </w:rPr>
        <w:t xml:space="preserve">Climate- and weather-related production risks were the most frequently reported primary </w:t>
      </w:r>
      <w:r w:rsidR="006D1595" w:rsidRPr="00C664C7">
        <w:rPr>
          <w:rFonts w:cs="Times New Roman"/>
          <w:color w:val="000000" w:themeColor="text1"/>
          <w:szCs w:val="20"/>
        </w:rPr>
        <w:t>problem</w:t>
      </w:r>
      <w:r w:rsidR="006D1595">
        <w:rPr>
          <w:rFonts w:cs="Times New Roman"/>
          <w:color w:val="000000" w:themeColor="text1"/>
          <w:szCs w:val="20"/>
        </w:rPr>
        <w:t>s</w:t>
      </w:r>
      <w:r w:rsidR="006D1595" w:rsidRPr="00C664C7">
        <w:rPr>
          <w:rFonts w:cs="Times New Roman"/>
          <w:color w:val="000000" w:themeColor="text1"/>
          <w:szCs w:val="20"/>
        </w:rPr>
        <w:t xml:space="preserve"> </w:t>
      </w:r>
      <w:r w:rsidR="006D1595">
        <w:rPr>
          <w:rFonts w:cs="Times New Roman"/>
          <w:color w:val="000000" w:themeColor="text1"/>
          <w:szCs w:val="20"/>
        </w:rPr>
        <w:t xml:space="preserve">in </w:t>
      </w:r>
      <w:r w:rsidRPr="00C664C7">
        <w:rPr>
          <w:rFonts w:cs="Times New Roman"/>
          <w:color w:val="000000" w:themeColor="text1"/>
          <w:szCs w:val="20"/>
        </w:rPr>
        <w:t xml:space="preserve">production and processing, cited by 374 respondents (63.39%). </w:t>
      </w:r>
      <w:r w:rsidR="009D69C4" w:rsidRPr="00C664C7">
        <w:rPr>
          <w:rFonts w:cs="Times New Roman"/>
          <w:color w:val="000000" w:themeColor="text1"/>
          <w:szCs w:val="20"/>
        </w:rPr>
        <w:t>Increased production costs were reported by 99 respondents (16.78%), followed by seasonality and operational vulnerability (55</w:t>
      </w:r>
      <w:r w:rsidR="00957CFF" w:rsidRPr="00C664C7">
        <w:rPr>
          <w:rFonts w:cs="Times New Roman"/>
          <w:color w:val="000000" w:themeColor="text1"/>
          <w:szCs w:val="20"/>
        </w:rPr>
        <w:t xml:space="preserve">, </w:t>
      </w:r>
      <w:r w:rsidR="009D69C4" w:rsidRPr="00C664C7">
        <w:rPr>
          <w:rFonts w:cs="Times New Roman"/>
          <w:color w:val="000000" w:themeColor="text1"/>
          <w:szCs w:val="20"/>
        </w:rPr>
        <w:t>9.32%), location</w:t>
      </w:r>
      <w:r w:rsidR="00957CFF" w:rsidRPr="00C664C7">
        <w:rPr>
          <w:rFonts w:cs="Times New Roman"/>
          <w:color w:val="000000" w:themeColor="text1"/>
          <w:szCs w:val="20"/>
        </w:rPr>
        <w:t>-</w:t>
      </w:r>
      <w:r w:rsidR="009D69C4" w:rsidRPr="00C664C7">
        <w:rPr>
          <w:rFonts w:cs="Times New Roman"/>
          <w:color w:val="000000" w:themeColor="text1"/>
          <w:szCs w:val="20"/>
        </w:rPr>
        <w:t xml:space="preserve"> and site-related constraints (39, 6.61%), and </w:t>
      </w:r>
      <w:r w:rsidR="006D1595">
        <w:rPr>
          <w:rFonts w:cs="Times New Roman"/>
          <w:color w:val="000000" w:themeColor="text1"/>
          <w:szCs w:val="20"/>
        </w:rPr>
        <w:t>the absence of</w:t>
      </w:r>
      <w:r w:rsidR="006D1595" w:rsidRPr="00C664C7">
        <w:rPr>
          <w:rFonts w:cs="Times New Roman"/>
          <w:color w:val="000000" w:themeColor="text1"/>
          <w:szCs w:val="20"/>
        </w:rPr>
        <w:t xml:space="preserve"> </w:t>
      </w:r>
      <w:r w:rsidR="009D69C4" w:rsidRPr="00C664C7">
        <w:rPr>
          <w:rFonts w:cs="Times New Roman"/>
          <w:color w:val="000000" w:themeColor="text1"/>
          <w:szCs w:val="20"/>
        </w:rPr>
        <w:t>significant production</w:t>
      </w:r>
      <w:r w:rsidR="006D1595">
        <w:rPr>
          <w:rFonts w:cs="Times New Roman"/>
          <w:color w:val="000000" w:themeColor="text1"/>
          <w:szCs w:val="20"/>
        </w:rPr>
        <w:t xml:space="preserve"> or </w:t>
      </w:r>
      <w:r w:rsidR="009D69C4" w:rsidRPr="00C664C7">
        <w:rPr>
          <w:rFonts w:cs="Times New Roman"/>
          <w:color w:val="000000" w:themeColor="text1"/>
          <w:szCs w:val="20"/>
        </w:rPr>
        <w:t>processing problem</w:t>
      </w:r>
      <w:r w:rsidR="006D1595">
        <w:rPr>
          <w:rFonts w:cs="Times New Roman"/>
          <w:color w:val="000000" w:themeColor="text1"/>
          <w:szCs w:val="20"/>
        </w:rPr>
        <w:t>s</w:t>
      </w:r>
      <w:r w:rsidR="009D69C4" w:rsidRPr="00C664C7">
        <w:rPr>
          <w:rFonts w:cs="Times New Roman"/>
          <w:color w:val="000000" w:themeColor="text1"/>
          <w:szCs w:val="20"/>
        </w:rPr>
        <w:t xml:space="preserve"> (23, 3.90%). Location and site-related constraints included general concerns about physical suitability, exposure, access, or site conditions, as reported by respondents.</w:t>
      </w:r>
    </w:p>
    <w:p w14:paraId="71FB317D" w14:textId="6477970E" w:rsidR="00354E37" w:rsidRPr="00C664C7" w:rsidRDefault="00000000" w:rsidP="008523C6">
      <w:pPr>
        <w:spacing w:after="0" w:line="480" w:lineRule="auto"/>
        <w:ind w:firstLine="567"/>
        <w:jc w:val="both"/>
        <w:rPr>
          <w:rFonts w:cs="Times New Roman"/>
          <w:color w:val="000000" w:themeColor="text1"/>
          <w:szCs w:val="20"/>
        </w:rPr>
      </w:pPr>
      <w:r w:rsidRPr="00C664C7">
        <w:rPr>
          <w:rFonts w:cs="Times New Roman"/>
          <w:color w:val="000000" w:themeColor="text1"/>
          <w:szCs w:val="20"/>
        </w:rPr>
        <w:t>In distribution and marketing, inadequate access to large-scale distribution channels was the most frequently reported primary problem (283</w:t>
      </w:r>
      <w:r w:rsidR="009D69C4" w:rsidRPr="00C664C7">
        <w:rPr>
          <w:rFonts w:cs="Times New Roman"/>
          <w:color w:val="000000" w:themeColor="text1"/>
          <w:szCs w:val="20"/>
        </w:rPr>
        <w:t>,</w:t>
      </w:r>
      <w:r w:rsidRPr="00C664C7">
        <w:rPr>
          <w:rFonts w:cs="Times New Roman"/>
          <w:color w:val="000000" w:themeColor="text1"/>
          <w:szCs w:val="20"/>
        </w:rPr>
        <w:t xml:space="preserve"> 47.97%), followed by inconsistent pricing and unstable profit margins (188</w:t>
      </w:r>
      <w:r w:rsidR="009D69C4" w:rsidRPr="00C664C7">
        <w:rPr>
          <w:rFonts w:cs="Times New Roman"/>
          <w:color w:val="000000" w:themeColor="text1"/>
          <w:szCs w:val="20"/>
        </w:rPr>
        <w:t>,</w:t>
      </w:r>
      <w:r w:rsidRPr="00C664C7">
        <w:rPr>
          <w:rFonts w:cs="Times New Roman"/>
          <w:color w:val="000000" w:themeColor="text1"/>
          <w:szCs w:val="20"/>
        </w:rPr>
        <w:t xml:space="preserve"> 31.86%). Weak bargaining power (33 or 5.59%), </w:t>
      </w:r>
      <w:r w:rsidR="006D1595">
        <w:rPr>
          <w:rFonts w:cs="Times New Roman"/>
          <w:color w:val="000000" w:themeColor="text1"/>
          <w:szCs w:val="20"/>
        </w:rPr>
        <w:t>the absence of</w:t>
      </w:r>
      <w:r w:rsidRPr="00C664C7">
        <w:rPr>
          <w:rFonts w:cs="Times New Roman"/>
          <w:color w:val="000000" w:themeColor="text1"/>
          <w:szCs w:val="20"/>
        </w:rPr>
        <w:t xml:space="preserve"> significant marketing problem</w:t>
      </w:r>
      <w:r w:rsidR="006D1595">
        <w:rPr>
          <w:rFonts w:cs="Times New Roman"/>
          <w:color w:val="000000" w:themeColor="text1"/>
          <w:szCs w:val="20"/>
        </w:rPr>
        <w:t>s</w:t>
      </w:r>
      <w:r w:rsidRPr="00C664C7">
        <w:rPr>
          <w:rFonts w:cs="Times New Roman"/>
          <w:color w:val="000000" w:themeColor="text1"/>
          <w:szCs w:val="20"/>
        </w:rPr>
        <w:t xml:space="preserve"> (33 or 5.59%), high transport costs (25 or 4.24%), absence of a standardized pricing system (20 or 3.39%), and vulnerability to local economic conditions or regional oversupply (8 or 1.36%) were reported less frequently. </w:t>
      </w:r>
    </w:p>
    <w:p w14:paraId="5E6CB8E1" w14:textId="173F49B4" w:rsidR="00AA1700" w:rsidRPr="00C664C7" w:rsidRDefault="00000000" w:rsidP="00193DD3">
      <w:pPr>
        <w:spacing w:after="0" w:line="480" w:lineRule="auto"/>
        <w:jc w:val="both"/>
        <w:rPr>
          <w:rFonts w:eastAsiaTheme="majorEastAsia" w:cs="Times New Roman"/>
          <w:b/>
          <w:bCs/>
          <w:color w:val="000000" w:themeColor="text1"/>
          <w:szCs w:val="20"/>
        </w:rPr>
      </w:pPr>
      <w:r w:rsidRPr="00C664C7">
        <w:rPr>
          <w:rFonts w:eastAsiaTheme="majorEastAsia" w:cs="Times New Roman"/>
          <w:b/>
          <w:bCs/>
          <w:color w:val="000000" w:themeColor="text1"/>
          <w:szCs w:val="20"/>
        </w:rPr>
        <w:t>DISCUSSION</w:t>
      </w:r>
    </w:p>
    <w:p w14:paraId="0D297864" w14:textId="77777777" w:rsidR="003C2AD4" w:rsidRPr="00C664C7" w:rsidRDefault="003C2AD4"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The study provides a descriptive baseline of salt-making practices and constraints in selected Philippine coastal provinces. The results should be interpreted as documentation of observed and reported patterns rather than evidence of causal relationships, empowerment outcomes, or intervention impacts. Within this scope, the study contributes by linking respondent characteristics, production systems, post-harvest practices, and reported constraints using a common field instrument across multiple producing areas.</w:t>
      </w:r>
    </w:p>
    <w:p w14:paraId="5A37B87D" w14:textId="5AEAE168" w:rsidR="003C2AD4" w:rsidRPr="00C664C7" w:rsidRDefault="007F5170"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 xml:space="preserve">The demographic pattern is consistent with recent research findings concerning the Philippine salt industry. </w:t>
      </w:r>
      <w:r w:rsidR="003C2AD4" w:rsidRPr="00C664C7">
        <w:rPr>
          <w:rFonts w:ascii="Times New Roman" w:eastAsiaTheme="minorEastAsia" w:hAnsi="Times New Roman" w:cs="Times New Roman"/>
          <w:b w:val="0"/>
          <w:bCs w:val="0"/>
          <w:color w:val="000000" w:themeColor="text1"/>
          <w:sz w:val="20"/>
          <w:szCs w:val="20"/>
        </w:rPr>
        <w:t xml:space="preserve">Banicod et al. (2024) reported a predominantly male and aging salt-production workforce with substantial family involvement and limited formal education. The present </w:t>
      </w:r>
      <w:r w:rsidRPr="00C664C7">
        <w:rPr>
          <w:rFonts w:ascii="Times New Roman" w:eastAsiaTheme="minorEastAsia" w:hAnsi="Times New Roman" w:cs="Times New Roman"/>
          <w:b w:val="0"/>
          <w:bCs w:val="0"/>
          <w:color w:val="000000" w:themeColor="text1"/>
          <w:sz w:val="20"/>
          <w:szCs w:val="20"/>
        </w:rPr>
        <w:t xml:space="preserve">study </w:t>
      </w:r>
      <w:r w:rsidR="006D1595">
        <w:rPr>
          <w:rFonts w:ascii="Times New Roman" w:eastAsiaTheme="minorEastAsia" w:hAnsi="Times New Roman" w:cs="Times New Roman"/>
          <w:b w:val="0"/>
          <w:bCs w:val="0"/>
          <w:color w:val="000000" w:themeColor="text1"/>
          <w:sz w:val="20"/>
          <w:szCs w:val="20"/>
        </w:rPr>
        <w:t xml:space="preserve">yielded </w:t>
      </w:r>
      <w:r w:rsidRPr="00C664C7">
        <w:rPr>
          <w:rFonts w:ascii="Times New Roman" w:eastAsiaTheme="minorEastAsia" w:hAnsi="Times New Roman" w:cs="Times New Roman"/>
          <w:b w:val="0"/>
          <w:bCs w:val="0"/>
          <w:color w:val="000000" w:themeColor="text1"/>
          <w:sz w:val="20"/>
          <w:szCs w:val="20"/>
        </w:rPr>
        <w:t xml:space="preserve">similar </w:t>
      </w:r>
      <w:r w:rsidR="003C2AD4" w:rsidRPr="00C664C7">
        <w:rPr>
          <w:rFonts w:ascii="Times New Roman" w:eastAsiaTheme="minorEastAsia" w:hAnsi="Times New Roman" w:cs="Times New Roman"/>
          <w:b w:val="0"/>
          <w:bCs w:val="0"/>
          <w:color w:val="000000" w:themeColor="text1"/>
          <w:sz w:val="20"/>
          <w:szCs w:val="20"/>
        </w:rPr>
        <w:t>findings</w:t>
      </w:r>
      <w:r w:rsidRPr="00C664C7">
        <w:rPr>
          <w:rFonts w:ascii="Times New Roman" w:eastAsiaTheme="minorEastAsia" w:hAnsi="Times New Roman" w:cs="Times New Roman"/>
          <w:b w:val="0"/>
          <w:bCs w:val="0"/>
          <w:color w:val="000000" w:themeColor="text1"/>
          <w:sz w:val="20"/>
          <w:szCs w:val="20"/>
        </w:rPr>
        <w:t>:</w:t>
      </w:r>
      <w:r w:rsidR="003C2AD4" w:rsidRPr="00C664C7">
        <w:rPr>
          <w:rFonts w:ascii="Times New Roman" w:eastAsiaTheme="minorEastAsia" w:hAnsi="Times New Roman" w:cs="Times New Roman"/>
          <w:b w:val="0"/>
          <w:bCs w:val="0"/>
          <w:color w:val="000000" w:themeColor="text1"/>
          <w:sz w:val="20"/>
          <w:szCs w:val="20"/>
        </w:rPr>
        <w:t xml:space="preserve"> 69.5% of respondents were male, 68.8% were 46 years or older, and 58.1% had more than 20 years of experience. These results suggest that current production depends heavily on experienced, middle-aged, and older producers. However, because the study did not measure youth attitudes, household labor allocation, or succession plans, youth engagement is treated only as a possible policy implication rather than as a directly measured outcome.</w:t>
      </w:r>
    </w:p>
    <w:p w14:paraId="1B54F8EE" w14:textId="3D7CDE06" w:rsidR="001D4611" w:rsidRPr="00C664C7" w:rsidRDefault="006D1595"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Pr>
          <w:rFonts w:ascii="Times New Roman" w:eastAsiaTheme="minorEastAsia" w:hAnsi="Times New Roman" w:cs="Times New Roman"/>
          <w:b w:val="0"/>
          <w:bCs w:val="0"/>
          <w:color w:val="000000" w:themeColor="text1"/>
          <w:sz w:val="20"/>
          <w:szCs w:val="20"/>
        </w:rPr>
        <w:t>The r</w:t>
      </w:r>
      <w:r w:rsidR="009A6A75" w:rsidRPr="00C664C7">
        <w:rPr>
          <w:rFonts w:ascii="Times New Roman" w:eastAsiaTheme="minorEastAsia" w:hAnsi="Times New Roman" w:cs="Times New Roman"/>
          <w:b w:val="0"/>
          <w:bCs w:val="0"/>
          <w:color w:val="000000" w:themeColor="text1"/>
          <w:sz w:val="20"/>
          <w:szCs w:val="20"/>
        </w:rPr>
        <w:t xml:space="preserve">esults </w:t>
      </w:r>
      <w:r>
        <w:rPr>
          <w:rFonts w:ascii="Times New Roman" w:eastAsiaTheme="minorEastAsia" w:hAnsi="Times New Roman" w:cs="Times New Roman"/>
          <w:b w:val="0"/>
          <w:bCs w:val="0"/>
          <w:color w:val="000000" w:themeColor="text1"/>
          <w:sz w:val="20"/>
          <w:szCs w:val="20"/>
        </w:rPr>
        <w:t>regarding</w:t>
      </w:r>
      <w:r w:rsidR="009A6A75" w:rsidRPr="00C664C7">
        <w:rPr>
          <w:rFonts w:ascii="Times New Roman" w:eastAsiaTheme="minorEastAsia" w:hAnsi="Times New Roman" w:cs="Times New Roman"/>
          <w:b w:val="0"/>
          <w:bCs w:val="0"/>
          <w:color w:val="000000" w:themeColor="text1"/>
          <w:sz w:val="20"/>
          <w:szCs w:val="20"/>
        </w:rPr>
        <w:t xml:space="preserve"> </w:t>
      </w:r>
      <w:r w:rsidR="003C2AD4" w:rsidRPr="00C664C7">
        <w:rPr>
          <w:rFonts w:ascii="Times New Roman" w:eastAsiaTheme="minorEastAsia" w:hAnsi="Times New Roman" w:cs="Times New Roman"/>
          <w:b w:val="0"/>
          <w:bCs w:val="0"/>
          <w:color w:val="000000" w:themeColor="text1"/>
          <w:sz w:val="20"/>
          <w:szCs w:val="20"/>
        </w:rPr>
        <w:t>respondent</w:t>
      </w:r>
      <w:r w:rsidR="009A6A75" w:rsidRPr="00C664C7">
        <w:rPr>
          <w:rFonts w:ascii="Times New Roman" w:eastAsiaTheme="minorEastAsia" w:hAnsi="Times New Roman" w:cs="Times New Roman"/>
          <w:b w:val="0"/>
          <w:bCs w:val="0"/>
          <w:color w:val="000000" w:themeColor="text1"/>
          <w:sz w:val="20"/>
          <w:szCs w:val="20"/>
        </w:rPr>
        <w:t xml:space="preserve">s’ </w:t>
      </w:r>
      <w:r w:rsidR="003C2AD4" w:rsidRPr="00C664C7">
        <w:rPr>
          <w:rFonts w:ascii="Times New Roman" w:eastAsiaTheme="minorEastAsia" w:hAnsi="Times New Roman" w:cs="Times New Roman"/>
          <w:b w:val="0"/>
          <w:bCs w:val="0"/>
          <w:color w:val="000000" w:themeColor="text1"/>
          <w:sz w:val="20"/>
          <w:szCs w:val="20"/>
        </w:rPr>
        <w:t>classification and farm</w:t>
      </w:r>
      <w:r w:rsidR="009A6A75" w:rsidRPr="00C664C7">
        <w:rPr>
          <w:rFonts w:ascii="Times New Roman" w:eastAsiaTheme="minorEastAsia" w:hAnsi="Times New Roman" w:cs="Times New Roman"/>
          <w:b w:val="0"/>
          <w:bCs w:val="0"/>
          <w:color w:val="000000" w:themeColor="text1"/>
          <w:sz w:val="20"/>
          <w:szCs w:val="20"/>
        </w:rPr>
        <w:t xml:space="preserve"> </w:t>
      </w:r>
      <w:r w:rsidR="003C2AD4" w:rsidRPr="00C664C7">
        <w:rPr>
          <w:rFonts w:ascii="Times New Roman" w:eastAsiaTheme="minorEastAsia" w:hAnsi="Times New Roman" w:cs="Times New Roman"/>
          <w:b w:val="0"/>
          <w:bCs w:val="0"/>
          <w:color w:val="000000" w:themeColor="text1"/>
          <w:sz w:val="20"/>
          <w:szCs w:val="20"/>
        </w:rPr>
        <w:t xml:space="preserve">size </w:t>
      </w:r>
      <w:r w:rsidR="009A6A75" w:rsidRPr="00C664C7">
        <w:rPr>
          <w:rFonts w:ascii="Times New Roman" w:eastAsiaTheme="minorEastAsia" w:hAnsi="Times New Roman" w:cs="Times New Roman"/>
          <w:b w:val="0"/>
          <w:bCs w:val="0"/>
          <w:color w:val="000000" w:themeColor="text1"/>
          <w:sz w:val="20"/>
          <w:szCs w:val="20"/>
        </w:rPr>
        <w:t>a</w:t>
      </w:r>
      <w:r w:rsidR="003C2AD4" w:rsidRPr="00C664C7">
        <w:rPr>
          <w:rFonts w:ascii="Times New Roman" w:eastAsiaTheme="minorEastAsia" w:hAnsi="Times New Roman" w:cs="Times New Roman"/>
          <w:b w:val="0"/>
          <w:bCs w:val="0"/>
          <w:color w:val="000000" w:themeColor="text1"/>
          <w:sz w:val="20"/>
          <w:szCs w:val="20"/>
        </w:rPr>
        <w:t xml:space="preserve">lso </w:t>
      </w:r>
      <w:r w:rsidR="009A6A75" w:rsidRPr="00C664C7">
        <w:rPr>
          <w:rFonts w:ascii="Times New Roman" w:eastAsiaTheme="minorEastAsia" w:hAnsi="Times New Roman" w:cs="Times New Roman"/>
          <w:b w:val="0"/>
          <w:bCs w:val="0"/>
          <w:color w:val="000000" w:themeColor="text1"/>
          <w:sz w:val="20"/>
          <w:szCs w:val="20"/>
        </w:rPr>
        <w:t>indicate</w:t>
      </w:r>
      <w:r w:rsidR="003C2AD4" w:rsidRPr="00C664C7">
        <w:rPr>
          <w:rFonts w:ascii="Times New Roman" w:eastAsiaTheme="minorEastAsia" w:hAnsi="Times New Roman" w:cs="Times New Roman"/>
          <w:b w:val="0"/>
          <w:bCs w:val="0"/>
          <w:color w:val="000000" w:themeColor="text1"/>
          <w:sz w:val="20"/>
          <w:szCs w:val="20"/>
        </w:rPr>
        <w:t xml:space="preserve"> </w:t>
      </w:r>
      <w:r w:rsidR="009A6A75" w:rsidRPr="00C664C7">
        <w:rPr>
          <w:rFonts w:ascii="Times New Roman" w:eastAsiaTheme="minorEastAsia" w:hAnsi="Times New Roman" w:cs="Times New Roman"/>
          <w:b w:val="0"/>
          <w:bCs w:val="0"/>
          <w:color w:val="000000" w:themeColor="text1"/>
          <w:sz w:val="20"/>
          <w:szCs w:val="20"/>
        </w:rPr>
        <w:t xml:space="preserve">the </w:t>
      </w:r>
      <w:r w:rsidR="003C2AD4" w:rsidRPr="00C664C7">
        <w:rPr>
          <w:rFonts w:ascii="Times New Roman" w:eastAsiaTheme="minorEastAsia" w:hAnsi="Times New Roman" w:cs="Times New Roman"/>
          <w:b w:val="0"/>
          <w:bCs w:val="0"/>
          <w:color w:val="000000" w:themeColor="text1"/>
          <w:sz w:val="20"/>
          <w:szCs w:val="20"/>
        </w:rPr>
        <w:t>small-scale and locally managed character of the surveyed salt farms</w:t>
      </w:r>
      <w:r w:rsidR="009A6A75" w:rsidRPr="00C664C7">
        <w:rPr>
          <w:rFonts w:ascii="Times New Roman" w:eastAsiaTheme="minorEastAsia" w:hAnsi="Times New Roman" w:cs="Times New Roman"/>
          <w:b w:val="0"/>
          <w:bCs w:val="0"/>
          <w:color w:val="000000" w:themeColor="text1"/>
          <w:sz w:val="20"/>
          <w:szCs w:val="20"/>
        </w:rPr>
        <w:t xml:space="preserve">, which may </w:t>
      </w:r>
      <w:r>
        <w:rPr>
          <w:rFonts w:ascii="Times New Roman" w:eastAsiaTheme="minorEastAsia" w:hAnsi="Times New Roman" w:cs="Times New Roman"/>
          <w:b w:val="0"/>
          <w:bCs w:val="0"/>
          <w:color w:val="000000" w:themeColor="text1"/>
          <w:sz w:val="20"/>
          <w:szCs w:val="20"/>
        </w:rPr>
        <w:t>reflect a broader</w:t>
      </w:r>
      <w:r w:rsidR="009A6A75" w:rsidRPr="00C664C7">
        <w:rPr>
          <w:rFonts w:ascii="Times New Roman" w:eastAsiaTheme="minorEastAsia" w:hAnsi="Times New Roman" w:cs="Times New Roman"/>
          <w:b w:val="0"/>
          <w:bCs w:val="0"/>
          <w:color w:val="000000" w:themeColor="text1"/>
          <w:sz w:val="20"/>
          <w:szCs w:val="20"/>
        </w:rPr>
        <w:t xml:space="preserve"> characteristic of the Philippine salt industry</w:t>
      </w:r>
      <w:r w:rsidR="003C2AD4" w:rsidRPr="00C664C7">
        <w:rPr>
          <w:rFonts w:ascii="Times New Roman" w:eastAsiaTheme="minorEastAsia" w:hAnsi="Times New Roman" w:cs="Times New Roman"/>
          <w:b w:val="0"/>
          <w:bCs w:val="0"/>
          <w:color w:val="000000" w:themeColor="text1"/>
          <w:sz w:val="20"/>
          <w:szCs w:val="20"/>
        </w:rPr>
        <w:t>. Owners and renters represented the largest respondent groups, while laborers, caretakers, and co-owners were also present. This pattern shows that production involves both land access arrangements and operational roles</w:t>
      </w:r>
      <w:r w:rsidR="009A6A75" w:rsidRPr="00C664C7">
        <w:rPr>
          <w:rFonts w:ascii="Times New Roman" w:eastAsiaTheme="minorEastAsia" w:hAnsi="Times New Roman" w:cs="Times New Roman"/>
          <w:b w:val="0"/>
          <w:bCs w:val="0"/>
          <w:color w:val="000000" w:themeColor="text1"/>
          <w:sz w:val="20"/>
          <w:szCs w:val="20"/>
        </w:rPr>
        <w:t>. Thus,</w:t>
      </w:r>
      <w:r w:rsidR="003C2AD4" w:rsidRPr="00C664C7">
        <w:rPr>
          <w:rFonts w:ascii="Times New Roman" w:eastAsiaTheme="minorEastAsia" w:hAnsi="Times New Roman" w:cs="Times New Roman"/>
          <w:b w:val="0"/>
          <w:bCs w:val="0"/>
          <w:color w:val="000000" w:themeColor="text1"/>
          <w:sz w:val="20"/>
          <w:szCs w:val="20"/>
        </w:rPr>
        <w:t xml:space="preserve"> these categories should not be interpreted as a strict land-tenure typology. </w:t>
      </w:r>
      <w:r w:rsidR="001D4611" w:rsidRPr="00C664C7">
        <w:rPr>
          <w:rFonts w:ascii="Times New Roman" w:eastAsiaTheme="minorEastAsia" w:hAnsi="Times New Roman" w:cs="Times New Roman"/>
          <w:b w:val="0"/>
          <w:bCs w:val="0"/>
          <w:color w:val="000000" w:themeColor="text1"/>
          <w:sz w:val="20"/>
          <w:szCs w:val="20"/>
        </w:rPr>
        <w:t>The dominance of small farms and privately owned or cooperative arrangements suggests that interventions may need to be tailored to smallholder realities, including limited capital, labor constraints, and uneven access to formal markets.</w:t>
      </w:r>
    </w:p>
    <w:p w14:paraId="5375C7A1" w14:textId="11BBDF64" w:rsidR="003C2AD4" w:rsidRPr="00C664C7" w:rsidRDefault="003C2AD4"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 xml:space="preserve">The </w:t>
      </w:r>
      <w:r w:rsidR="001D4611" w:rsidRPr="00C664C7">
        <w:rPr>
          <w:rFonts w:ascii="Times New Roman" w:eastAsiaTheme="minorEastAsia" w:hAnsi="Times New Roman" w:cs="Times New Roman"/>
          <w:b w:val="0"/>
          <w:bCs w:val="0"/>
          <w:color w:val="000000" w:themeColor="text1"/>
          <w:sz w:val="20"/>
          <w:szCs w:val="20"/>
        </w:rPr>
        <w:t xml:space="preserve">findings on the dominance of </w:t>
      </w:r>
      <w:r w:rsidRPr="00C664C7">
        <w:rPr>
          <w:rFonts w:ascii="Times New Roman" w:eastAsiaTheme="minorEastAsia" w:hAnsi="Times New Roman" w:cs="Times New Roman"/>
          <w:b w:val="0"/>
          <w:bCs w:val="0"/>
          <w:color w:val="000000" w:themeColor="text1"/>
          <w:sz w:val="20"/>
          <w:szCs w:val="20"/>
        </w:rPr>
        <w:t>solar evaporation</w:t>
      </w:r>
      <w:r w:rsidR="001D4611" w:rsidRPr="00C664C7">
        <w:rPr>
          <w:rFonts w:ascii="Times New Roman" w:eastAsiaTheme="minorEastAsia" w:hAnsi="Times New Roman" w:cs="Times New Roman"/>
          <w:b w:val="0"/>
          <w:bCs w:val="0"/>
          <w:color w:val="000000" w:themeColor="text1"/>
          <w:sz w:val="20"/>
          <w:szCs w:val="20"/>
        </w:rPr>
        <w:t xml:space="preserve"> production systems are</w:t>
      </w:r>
      <w:r w:rsidRPr="00C664C7">
        <w:rPr>
          <w:rFonts w:ascii="Times New Roman" w:eastAsiaTheme="minorEastAsia" w:hAnsi="Times New Roman" w:cs="Times New Roman"/>
          <w:b w:val="0"/>
          <w:bCs w:val="0"/>
          <w:color w:val="000000" w:themeColor="text1"/>
          <w:sz w:val="20"/>
          <w:szCs w:val="20"/>
        </w:rPr>
        <w:t xml:space="preserve"> consistent with Montojo et al. (2024), who identified solar evaporation as a major production system in the country. The provincial pattern of cooking-based production in Ilocos Norte and Ilocos Sur, and of solar evaporation in Western Visayas, Misamis Oriental, Pangasinan, and Occidental Mindoro,</w:t>
      </w:r>
      <w:r w:rsidR="001D4611" w:rsidRPr="00C664C7">
        <w:rPr>
          <w:rFonts w:ascii="Times New Roman" w:eastAsiaTheme="minorEastAsia" w:hAnsi="Times New Roman" w:cs="Times New Roman"/>
          <w:b w:val="0"/>
          <w:bCs w:val="0"/>
          <w:color w:val="000000" w:themeColor="text1"/>
          <w:sz w:val="20"/>
          <w:szCs w:val="20"/>
        </w:rPr>
        <w:t xml:space="preserve"> also</w:t>
      </w:r>
      <w:r w:rsidRPr="00C664C7">
        <w:rPr>
          <w:rFonts w:ascii="Times New Roman" w:eastAsiaTheme="minorEastAsia" w:hAnsi="Times New Roman" w:cs="Times New Roman"/>
          <w:b w:val="0"/>
          <w:bCs w:val="0"/>
          <w:color w:val="000000" w:themeColor="text1"/>
          <w:sz w:val="20"/>
          <w:szCs w:val="20"/>
        </w:rPr>
        <w:t xml:space="preserve"> reflects the diversity of salt-making systems in the Philippines. These patterns are documented descriptively. Further analysis would be needed to test whether they are associated with climate type, brine source, land availability, labor, cultural practice, market demand, or access to capital. Cost-and-return comparisons among conventional solar beds, HDPE-lined beds, and cooking-based systems were not conducted; therefore, the study does not draw conclusions about the relative profitability or economic superiority of these systems. This caution is important because site-specific profitability may vary with input costs, scale, production season, labor requirements, and market prices (Barba and Delos Reyes 2024).</w:t>
      </w:r>
    </w:p>
    <w:p w14:paraId="6878445A" w14:textId="77777777" w:rsidR="003C2AD4" w:rsidRPr="00C664C7" w:rsidRDefault="003C2AD4"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Post-harvest results indicate limited farm-level packaging differentiation and substantial storage gaps. The dominance of sacks as packaging material and the absence of farm-level packaging information among 72.0% of respondents may constrain producer-level traceability, although consumer perception cannot be inferred because retail labeling may be handled later by traders, processors, or distributors. The result is nevertheless relevant to value-chain upgrading because food traceability systems support product identification, quality management, and information flow across supply chains (Aung and Chang 2014). For salt moved in bulk or non-retail containers, appropriate container-level information is also consistent with the purpose of Codex guidance on non-retail container labeling, which seeks to facilitate harmonized information for food moving through supply chains (Codex Alimentarius Commission 2021).</w:t>
      </w:r>
    </w:p>
    <w:p w14:paraId="68E31ADE" w14:textId="6EAB8BEA" w:rsidR="003C2AD4" w:rsidRPr="00C664C7" w:rsidRDefault="003C2AD4"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The lack of storage facilities among 35.3% of respondents is a practical constraint that may affect</w:t>
      </w:r>
      <w:r w:rsidR="007C3743" w:rsidRPr="00C664C7">
        <w:rPr>
          <w:rFonts w:ascii="Times New Roman" w:eastAsiaTheme="minorEastAsia" w:hAnsi="Times New Roman" w:cs="Times New Roman"/>
          <w:b w:val="0"/>
          <w:bCs w:val="0"/>
          <w:color w:val="000000" w:themeColor="text1"/>
          <w:sz w:val="20"/>
          <w:szCs w:val="20"/>
        </w:rPr>
        <w:t xml:space="preserve"> the ability of</w:t>
      </w:r>
      <w:r w:rsidRPr="00C664C7">
        <w:rPr>
          <w:rFonts w:ascii="Times New Roman" w:eastAsiaTheme="minorEastAsia" w:hAnsi="Times New Roman" w:cs="Times New Roman"/>
          <w:b w:val="0"/>
          <w:bCs w:val="0"/>
          <w:color w:val="000000" w:themeColor="text1"/>
          <w:sz w:val="20"/>
          <w:szCs w:val="20"/>
        </w:rPr>
        <w:t xml:space="preserve"> </w:t>
      </w:r>
      <w:r w:rsidR="007C3743" w:rsidRPr="00C664C7">
        <w:rPr>
          <w:rFonts w:ascii="Times New Roman" w:eastAsiaTheme="minorEastAsia" w:hAnsi="Times New Roman" w:cs="Times New Roman"/>
          <w:b w:val="0"/>
          <w:bCs w:val="0"/>
          <w:color w:val="000000" w:themeColor="text1"/>
          <w:sz w:val="20"/>
          <w:szCs w:val="20"/>
        </w:rPr>
        <w:t>salt farmers</w:t>
      </w:r>
      <w:r w:rsidRPr="00C664C7">
        <w:rPr>
          <w:rFonts w:ascii="Times New Roman" w:eastAsiaTheme="minorEastAsia" w:hAnsi="Times New Roman" w:cs="Times New Roman"/>
          <w:b w:val="0"/>
          <w:bCs w:val="0"/>
          <w:color w:val="000000" w:themeColor="text1"/>
          <w:sz w:val="20"/>
          <w:szCs w:val="20"/>
        </w:rPr>
        <w:t xml:space="preserve"> to protect</w:t>
      </w:r>
      <w:r w:rsidR="007C3743" w:rsidRPr="00C664C7">
        <w:rPr>
          <w:rFonts w:ascii="Times New Roman" w:eastAsiaTheme="minorEastAsia" w:hAnsi="Times New Roman" w:cs="Times New Roman"/>
          <w:b w:val="0"/>
          <w:bCs w:val="0"/>
          <w:color w:val="000000" w:themeColor="text1"/>
          <w:sz w:val="20"/>
          <w:szCs w:val="20"/>
        </w:rPr>
        <w:t xml:space="preserve"> </w:t>
      </w:r>
      <w:r w:rsidRPr="00C664C7">
        <w:rPr>
          <w:rFonts w:ascii="Times New Roman" w:eastAsiaTheme="minorEastAsia" w:hAnsi="Times New Roman" w:cs="Times New Roman"/>
          <w:b w:val="0"/>
          <w:bCs w:val="0"/>
          <w:color w:val="000000" w:themeColor="text1"/>
          <w:sz w:val="20"/>
          <w:szCs w:val="20"/>
        </w:rPr>
        <w:t xml:space="preserve">product </w:t>
      </w:r>
      <w:r w:rsidR="007C3743" w:rsidRPr="00C664C7">
        <w:rPr>
          <w:rFonts w:ascii="Times New Roman" w:eastAsiaTheme="minorEastAsia" w:hAnsi="Times New Roman" w:cs="Times New Roman"/>
          <w:b w:val="0"/>
          <w:bCs w:val="0"/>
          <w:color w:val="000000" w:themeColor="text1"/>
          <w:sz w:val="20"/>
          <w:szCs w:val="20"/>
        </w:rPr>
        <w:t>quality and</w:t>
      </w:r>
      <w:r w:rsidRPr="00C664C7">
        <w:rPr>
          <w:rFonts w:ascii="Times New Roman" w:eastAsiaTheme="minorEastAsia" w:hAnsi="Times New Roman" w:cs="Times New Roman"/>
          <w:b w:val="0"/>
          <w:bCs w:val="0"/>
          <w:color w:val="000000" w:themeColor="text1"/>
          <w:sz w:val="20"/>
          <w:szCs w:val="20"/>
        </w:rPr>
        <w:t xml:space="preserve"> time</w:t>
      </w:r>
      <w:r w:rsidR="006D1595">
        <w:rPr>
          <w:rFonts w:ascii="Times New Roman" w:eastAsiaTheme="minorEastAsia" w:hAnsi="Times New Roman" w:cs="Times New Roman"/>
          <w:b w:val="0"/>
          <w:bCs w:val="0"/>
          <w:color w:val="000000" w:themeColor="text1"/>
          <w:sz w:val="20"/>
          <w:szCs w:val="20"/>
        </w:rPr>
        <w:t xml:space="preserve"> their</w:t>
      </w:r>
      <w:r w:rsidRPr="00C664C7">
        <w:rPr>
          <w:rFonts w:ascii="Times New Roman" w:eastAsiaTheme="minorEastAsia" w:hAnsi="Times New Roman" w:cs="Times New Roman"/>
          <w:b w:val="0"/>
          <w:bCs w:val="0"/>
          <w:color w:val="000000" w:themeColor="text1"/>
          <w:sz w:val="20"/>
          <w:szCs w:val="20"/>
        </w:rPr>
        <w:t xml:space="preserve"> sales decisions</w:t>
      </w:r>
      <w:r w:rsidR="007C3743" w:rsidRPr="00C664C7">
        <w:rPr>
          <w:rFonts w:ascii="Times New Roman" w:eastAsiaTheme="minorEastAsia" w:hAnsi="Times New Roman" w:cs="Times New Roman"/>
          <w:b w:val="0"/>
          <w:bCs w:val="0"/>
          <w:color w:val="000000" w:themeColor="text1"/>
          <w:sz w:val="20"/>
          <w:szCs w:val="20"/>
        </w:rPr>
        <w:t xml:space="preserve"> to </w:t>
      </w:r>
      <w:r w:rsidR="006D1595">
        <w:rPr>
          <w:rFonts w:ascii="Times New Roman" w:eastAsiaTheme="minorEastAsia" w:hAnsi="Times New Roman" w:cs="Times New Roman"/>
          <w:b w:val="0"/>
          <w:bCs w:val="0"/>
          <w:color w:val="000000" w:themeColor="text1"/>
          <w:sz w:val="20"/>
          <w:szCs w:val="20"/>
        </w:rPr>
        <w:t>obtain</w:t>
      </w:r>
      <w:r w:rsidR="007C3743" w:rsidRPr="00C664C7">
        <w:rPr>
          <w:rFonts w:ascii="Times New Roman" w:eastAsiaTheme="minorEastAsia" w:hAnsi="Times New Roman" w:cs="Times New Roman"/>
          <w:b w:val="0"/>
          <w:bCs w:val="0"/>
          <w:color w:val="000000" w:themeColor="text1"/>
          <w:sz w:val="20"/>
          <w:szCs w:val="20"/>
        </w:rPr>
        <w:t xml:space="preserve"> better price</w:t>
      </w:r>
      <w:r w:rsidR="006D1595">
        <w:rPr>
          <w:rFonts w:ascii="Times New Roman" w:eastAsiaTheme="minorEastAsia" w:hAnsi="Times New Roman" w:cs="Times New Roman"/>
          <w:b w:val="0"/>
          <w:bCs w:val="0"/>
          <w:color w:val="000000" w:themeColor="text1"/>
          <w:sz w:val="20"/>
          <w:szCs w:val="20"/>
        </w:rPr>
        <w:t xml:space="preserve">s. </w:t>
      </w:r>
      <w:r w:rsidRPr="00C664C7">
        <w:rPr>
          <w:rFonts w:ascii="Times New Roman" w:eastAsiaTheme="minorEastAsia" w:hAnsi="Times New Roman" w:cs="Times New Roman"/>
          <w:b w:val="0"/>
          <w:bCs w:val="0"/>
          <w:color w:val="000000" w:themeColor="text1"/>
          <w:sz w:val="20"/>
          <w:szCs w:val="20"/>
        </w:rPr>
        <w:t>Similar issues of market access and value-chain constraints have been observed in agricultural and salt value chains, where limited storage, weak organization, dependence on buyers, and limited value-adding capacity can reduce producers' bargaining power (Lat et al. 2024; Reardon et al. 2019; Tan et al. 2022; Ton 2008). However, the present study did not measure selling price, margins, or income</w:t>
      </w:r>
      <w:r w:rsidR="007C3743" w:rsidRPr="00C664C7">
        <w:rPr>
          <w:rFonts w:ascii="Times New Roman" w:eastAsiaTheme="minorEastAsia" w:hAnsi="Times New Roman" w:cs="Times New Roman"/>
          <w:b w:val="0"/>
          <w:bCs w:val="0"/>
          <w:color w:val="000000" w:themeColor="text1"/>
          <w:sz w:val="20"/>
          <w:szCs w:val="20"/>
        </w:rPr>
        <w:t>.</w:t>
      </w:r>
      <w:r w:rsidRPr="00C664C7">
        <w:rPr>
          <w:rFonts w:ascii="Times New Roman" w:eastAsiaTheme="minorEastAsia" w:hAnsi="Times New Roman" w:cs="Times New Roman"/>
          <w:b w:val="0"/>
          <w:bCs w:val="0"/>
          <w:color w:val="000000" w:themeColor="text1"/>
          <w:sz w:val="20"/>
          <w:szCs w:val="20"/>
        </w:rPr>
        <w:t xml:space="preserve"> </w:t>
      </w:r>
      <w:r w:rsidR="007C3743" w:rsidRPr="00C664C7">
        <w:rPr>
          <w:rFonts w:ascii="Times New Roman" w:eastAsiaTheme="minorEastAsia" w:hAnsi="Times New Roman" w:cs="Times New Roman"/>
          <w:b w:val="0"/>
          <w:bCs w:val="0"/>
          <w:color w:val="000000" w:themeColor="text1"/>
          <w:sz w:val="20"/>
          <w:szCs w:val="20"/>
        </w:rPr>
        <w:t>T</w:t>
      </w:r>
      <w:r w:rsidRPr="00C664C7">
        <w:rPr>
          <w:rFonts w:ascii="Times New Roman" w:eastAsiaTheme="minorEastAsia" w:hAnsi="Times New Roman" w:cs="Times New Roman"/>
          <w:b w:val="0"/>
          <w:bCs w:val="0"/>
          <w:color w:val="000000" w:themeColor="text1"/>
          <w:sz w:val="20"/>
          <w:szCs w:val="20"/>
        </w:rPr>
        <w:t xml:space="preserve">hus, economic implications are discussed </w:t>
      </w:r>
      <w:r w:rsidR="007C3743" w:rsidRPr="00C664C7">
        <w:rPr>
          <w:rFonts w:ascii="Times New Roman" w:eastAsiaTheme="minorEastAsia" w:hAnsi="Times New Roman" w:cs="Times New Roman"/>
          <w:b w:val="0"/>
          <w:bCs w:val="0"/>
          <w:color w:val="000000" w:themeColor="text1"/>
          <w:sz w:val="20"/>
          <w:szCs w:val="20"/>
        </w:rPr>
        <w:t xml:space="preserve">only </w:t>
      </w:r>
      <w:r w:rsidRPr="00C664C7">
        <w:rPr>
          <w:rFonts w:ascii="Times New Roman" w:eastAsiaTheme="minorEastAsia" w:hAnsi="Times New Roman" w:cs="Times New Roman"/>
          <w:b w:val="0"/>
          <w:bCs w:val="0"/>
          <w:color w:val="000000" w:themeColor="text1"/>
          <w:sz w:val="20"/>
          <w:szCs w:val="20"/>
        </w:rPr>
        <w:t>as plausible pathways for future research and intervention design rather than as measured impacts.</w:t>
      </w:r>
    </w:p>
    <w:p w14:paraId="6B8A9F3F" w14:textId="01A21C7A" w:rsidR="003C2AD4" w:rsidRPr="00C664C7" w:rsidRDefault="007C3743"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Moreover, c</w:t>
      </w:r>
      <w:r w:rsidR="003C2AD4" w:rsidRPr="00C664C7">
        <w:rPr>
          <w:rFonts w:ascii="Times New Roman" w:eastAsiaTheme="minorEastAsia" w:hAnsi="Times New Roman" w:cs="Times New Roman"/>
          <w:b w:val="0"/>
          <w:bCs w:val="0"/>
          <w:color w:val="000000" w:themeColor="text1"/>
          <w:sz w:val="20"/>
          <w:szCs w:val="20"/>
        </w:rPr>
        <w:t xml:space="preserve">limate- and weather-related risks </w:t>
      </w:r>
      <w:r w:rsidR="00A00C1C" w:rsidRPr="00C664C7">
        <w:rPr>
          <w:rFonts w:ascii="Times New Roman" w:eastAsiaTheme="minorEastAsia" w:hAnsi="Times New Roman" w:cs="Times New Roman"/>
          <w:b w:val="0"/>
          <w:bCs w:val="0"/>
          <w:color w:val="000000" w:themeColor="text1"/>
          <w:sz w:val="20"/>
          <w:szCs w:val="20"/>
        </w:rPr>
        <w:t>emerged</w:t>
      </w:r>
      <w:r w:rsidRPr="00C664C7">
        <w:rPr>
          <w:rFonts w:ascii="Times New Roman" w:eastAsiaTheme="minorEastAsia" w:hAnsi="Times New Roman" w:cs="Times New Roman"/>
          <w:b w:val="0"/>
          <w:bCs w:val="0"/>
          <w:color w:val="000000" w:themeColor="text1"/>
          <w:sz w:val="20"/>
          <w:szCs w:val="20"/>
        </w:rPr>
        <w:t xml:space="preserve"> as</w:t>
      </w:r>
      <w:r w:rsidR="003C2AD4" w:rsidRPr="00C664C7">
        <w:rPr>
          <w:rFonts w:ascii="Times New Roman" w:eastAsiaTheme="minorEastAsia" w:hAnsi="Times New Roman" w:cs="Times New Roman"/>
          <w:b w:val="0"/>
          <w:bCs w:val="0"/>
          <w:color w:val="000000" w:themeColor="text1"/>
          <w:sz w:val="20"/>
          <w:szCs w:val="20"/>
        </w:rPr>
        <w:t xml:space="preserve"> the most frequent production constraints. This pattern is consistent with the dependence of solar salt production on predictable dry conditions for evaporation and crystallization and with constraints reported in salt-farming areas such as Occidental Mindoro (Muyot and Asuncion 2022). Weather disruptions</w:t>
      </w:r>
      <w:r w:rsidR="00A00C1C" w:rsidRPr="00C664C7">
        <w:rPr>
          <w:rFonts w:ascii="Times New Roman" w:eastAsiaTheme="minorEastAsia" w:hAnsi="Times New Roman" w:cs="Times New Roman"/>
          <w:b w:val="0"/>
          <w:bCs w:val="0"/>
          <w:color w:val="000000" w:themeColor="text1"/>
          <w:sz w:val="20"/>
          <w:szCs w:val="20"/>
        </w:rPr>
        <w:t>, such as unexpected rainfall, prolonged cloudiness, high humidity, and storms,</w:t>
      </w:r>
      <w:r w:rsidR="00D64197" w:rsidRPr="00C664C7">
        <w:rPr>
          <w:rFonts w:ascii="Times New Roman" w:eastAsiaTheme="minorEastAsia" w:hAnsi="Times New Roman" w:cs="Times New Roman"/>
          <w:b w:val="0"/>
          <w:bCs w:val="0"/>
          <w:color w:val="000000" w:themeColor="text1"/>
          <w:sz w:val="20"/>
          <w:szCs w:val="20"/>
        </w:rPr>
        <w:t xml:space="preserve"> </w:t>
      </w:r>
      <w:r w:rsidR="003C2AD4" w:rsidRPr="00C664C7">
        <w:rPr>
          <w:rFonts w:ascii="Times New Roman" w:eastAsiaTheme="minorEastAsia" w:hAnsi="Times New Roman" w:cs="Times New Roman"/>
          <w:b w:val="0"/>
          <w:bCs w:val="0"/>
          <w:color w:val="000000" w:themeColor="text1"/>
          <w:sz w:val="20"/>
          <w:szCs w:val="20"/>
        </w:rPr>
        <w:t xml:space="preserve">can reduce brine concentration, dissolve crystallized salt, delay harvesting, </w:t>
      </w:r>
      <w:r w:rsidR="00D64197" w:rsidRPr="00C664C7">
        <w:rPr>
          <w:rFonts w:ascii="Times New Roman" w:eastAsiaTheme="minorEastAsia" w:hAnsi="Times New Roman" w:cs="Times New Roman"/>
          <w:b w:val="0"/>
          <w:bCs w:val="0"/>
          <w:color w:val="000000" w:themeColor="text1"/>
          <w:sz w:val="20"/>
          <w:szCs w:val="20"/>
        </w:rPr>
        <w:t xml:space="preserve">damage pond structures, </w:t>
      </w:r>
      <w:r w:rsidR="003C2AD4" w:rsidRPr="00C664C7">
        <w:rPr>
          <w:rFonts w:ascii="Times New Roman" w:eastAsiaTheme="minorEastAsia" w:hAnsi="Times New Roman" w:cs="Times New Roman"/>
          <w:b w:val="0"/>
          <w:bCs w:val="0"/>
          <w:color w:val="000000" w:themeColor="text1"/>
          <w:sz w:val="20"/>
          <w:szCs w:val="20"/>
        </w:rPr>
        <w:t xml:space="preserve">and shorten the </w:t>
      </w:r>
      <w:r w:rsidR="00D64197" w:rsidRPr="00C664C7">
        <w:rPr>
          <w:rFonts w:ascii="Times New Roman" w:eastAsiaTheme="minorEastAsia" w:hAnsi="Times New Roman" w:cs="Times New Roman"/>
          <w:b w:val="0"/>
          <w:bCs w:val="0"/>
          <w:color w:val="000000" w:themeColor="text1"/>
          <w:sz w:val="20"/>
          <w:szCs w:val="20"/>
        </w:rPr>
        <w:t xml:space="preserve">effective </w:t>
      </w:r>
      <w:r w:rsidR="003C2AD4" w:rsidRPr="00C664C7">
        <w:rPr>
          <w:rFonts w:ascii="Times New Roman" w:eastAsiaTheme="minorEastAsia" w:hAnsi="Times New Roman" w:cs="Times New Roman"/>
          <w:b w:val="0"/>
          <w:bCs w:val="0"/>
          <w:color w:val="000000" w:themeColor="text1"/>
          <w:sz w:val="20"/>
          <w:szCs w:val="20"/>
        </w:rPr>
        <w:t xml:space="preserve">production </w:t>
      </w:r>
      <w:r w:rsidR="00D64197" w:rsidRPr="00C664C7">
        <w:rPr>
          <w:rFonts w:ascii="Times New Roman" w:eastAsiaTheme="minorEastAsia" w:hAnsi="Times New Roman" w:cs="Times New Roman"/>
          <w:b w:val="0"/>
          <w:bCs w:val="0"/>
          <w:color w:val="000000" w:themeColor="text1"/>
          <w:sz w:val="20"/>
          <w:szCs w:val="20"/>
        </w:rPr>
        <w:t>season</w:t>
      </w:r>
      <w:r w:rsidR="003C2AD4" w:rsidRPr="00C664C7">
        <w:rPr>
          <w:rFonts w:ascii="Times New Roman" w:eastAsiaTheme="minorEastAsia" w:hAnsi="Times New Roman" w:cs="Times New Roman"/>
          <w:b w:val="0"/>
          <w:bCs w:val="0"/>
          <w:color w:val="000000" w:themeColor="text1"/>
          <w:sz w:val="20"/>
          <w:szCs w:val="20"/>
        </w:rPr>
        <w:t xml:space="preserve">. The results </w:t>
      </w:r>
      <w:r w:rsidR="00D64197" w:rsidRPr="00C664C7">
        <w:rPr>
          <w:rFonts w:ascii="Times New Roman" w:eastAsiaTheme="minorEastAsia" w:hAnsi="Times New Roman" w:cs="Times New Roman"/>
          <w:b w:val="0"/>
          <w:bCs w:val="0"/>
          <w:color w:val="000000" w:themeColor="text1"/>
          <w:sz w:val="20"/>
          <w:szCs w:val="20"/>
        </w:rPr>
        <w:t xml:space="preserve">therefore </w:t>
      </w:r>
      <w:r w:rsidR="003C2AD4" w:rsidRPr="00C664C7">
        <w:rPr>
          <w:rFonts w:ascii="Times New Roman" w:eastAsiaTheme="minorEastAsia" w:hAnsi="Times New Roman" w:cs="Times New Roman"/>
          <w:b w:val="0"/>
          <w:bCs w:val="0"/>
          <w:color w:val="000000" w:themeColor="text1"/>
          <w:sz w:val="20"/>
          <w:szCs w:val="20"/>
        </w:rPr>
        <w:t>reinforce the need to examine climate-resilient infrastructure, improved drainage, protected or covered crystallization systems, flexible production scheduling, and localized weather advisories. These are feasible intervention areas, but their cost-effectiveness, technical suitability, and adoption by different farm-size groups should be evaluated separately.</w:t>
      </w:r>
    </w:p>
    <w:p w14:paraId="400C239B" w14:textId="5F89F3E6" w:rsidR="003C2AD4" w:rsidRPr="00C664C7" w:rsidRDefault="00D64197" w:rsidP="00193DD3">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Findings on m</w:t>
      </w:r>
      <w:r w:rsidR="003C2AD4" w:rsidRPr="00C664C7">
        <w:rPr>
          <w:rFonts w:ascii="Times New Roman" w:eastAsiaTheme="minorEastAsia" w:hAnsi="Times New Roman" w:cs="Times New Roman"/>
          <w:b w:val="0"/>
          <w:bCs w:val="0"/>
          <w:color w:val="000000" w:themeColor="text1"/>
          <w:sz w:val="20"/>
          <w:szCs w:val="20"/>
        </w:rPr>
        <w:t xml:space="preserve">arketing constraints </w:t>
      </w:r>
      <w:r w:rsidRPr="00C664C7">
        <w:rPr>
          <w:rFonts w:ascii="Times New Roman" w:eastAsiaTheme="minorEastAsia" w:hAnsi="Times New Roman" w:cs="Times New Roman"/>
          <w:b w:val="0"/>
          <w:bCs w:val="0"/>
          <w:color w:val="000000" w:themeColor="text1"/>
          <w:sz w:val="20"/>
          <w:szCs w:val="20"/>
        </w:rPr>
        <w:t xml:space="preserve">highlight the </w:t>
      </w:r>
      <w:r w:rsidR="003C2AD4" w:rsidRPr="00C664C7">
        <w:rPr>
          <w:rFonts w:ascii="Times New Roman" w:eastAsiaTheme="minorEastAsia" w:hAnsi="Times New Roman" w:cs="Times New Roman"/>
          <w:b w:val="0"/>
          <w:bCs w:val="0"/>
          <w:color w:val="000000" w:themeColor="text1"/>
          <w:sz w:val="20"/>
          <w:szCs w:val="20"/>
        </w:rPr>
        <w:t>domina</w:t>
      </w:r>
      <w:r w:rsidRPr="00C664C7">
        <w:rPr>
          <w:rFonts w:ascii="Times New Roman" w:eastAsiaTheme="minorEastAsia" w:hAnsi="Times New Roman" w:cs="Times New Roman"/>
          <w:b w:val="0"/>
          <w:bCs w:val="0"/>
          <w:color w:val="000000" w:themeColor="text1"/>
          <w:sz w:val="20"/>
          <w:szCs w:val="20"/>
        </w:rPr>
        <w:t xml:space="preserve">nce of </w:t>
      </w:r>
      <w:r w:rsidR="003C2AD4" w:rsidRPr="00C664C7">
        <w:rPr>
          <w:rFonts w:ascii="Times New Roman" w:eastAsiaTheme="minorEastAsia" w:hAnsi="Times New Roman" w:cs="Times New Roman"/>
          <w:b w:val="0"/>
          <w:bCs w:val="0"/>
          <w:color w:val="000000" w:themeColor="text1"/>
          <w:sz w:val="20"/>
          <w:szCs w:val="20"/>
        </w:rPr>
        <w:t xml:space="preserve">limited access to large-scale distribution channels and unstable pricing. </w:t>
      </w:r>
      <w:r w:rsidRPr="00C664C7">
        <w:rPr>
          <w:rFonts w:ascii="Times New Roman" w:eastAsiaTheme="minorEastAsia" w:hAnsi="Times New Roman" w:cs="Times New Roman"/>
          <w:b w:val="0"/>
          <w:bCs w:val="0"/>
          <w:color w:val="000000" w:themeColor="text1"/>
          <w:sz w:val="20"/>
          <w:szCs w:val="20"/>
        </w:rPr>
        <w:t>While t</w:t>
      </w:r>
      <w:r w:rsidR="003C2AD4" w:rsidRPr="00C664C7">
        <w:rPr>
          <w:rFonts w:ascii="Times New Roman" w:eastAsiaTheme="minorEastAsia" w:hAnsi="Times New Roman" w:cs="Times New Roman"/>
          <w:b w:val="0"/>
          <w:bCs w:val="0"/>
          <w:color w:val="000000" w:themeColor="text1"/>
          <w:sz w:val="20"/>
          <w:szCs w:val="20"/>
        </w:rPr>
        <w:t>hese findings do not constitute a full market opportunity assessment</w:t>
      </w:r>
      <w:r w:rsidRPr="00C664C7">
        <w:rPr>
          <w:rFonts w:ascii="Times New Roman" w:eastAsiaTheme="minorEastAsia" w:hAnsi="Times New Roman" w:cs="Times New Roman"/>
          <w:b w:val="0"/>
          <w:bCs w:val="0"/>
          <w:color w:val="000000" w:themeColor="text1"/>
          <w:sz w:val="20"/>
          <w:szCs w:val="20"/>
        </w:rPr>
        <w:t xml:space="preserve">, </w:t>
      </w:r>
      <w:r w:rsidR="003C2AD4" w:rsidRPr="00C664C7">
        <w:rPr>
          <w:rFonts w:ascii="Times New Roman" w:eastAsiaTheme="minorEastAsia" w:hAnsi="Times New Roman" w:cs="Times New Roman"/>
          <w:b w:val="0"/>
          <w:bCs w:val="0"/>
          <w:color w:val="000000" w:themeColor="text1"/>
          <w:sz w:val="20"/>
          <w:szCs w:val="20"/>
        </w:rPr>
        <w:t>they identify priority areas for further value</w:t>
      </w:r>
      <w:r w:rsidR="00C303C4" w:rsidRPr="00C664C7">
        <w:rPr>
          <w:rFonts w:ascii="Times New Roman" w:eastAsiaTheme="minorEastAsia" w:hAnsi="Times New Roman" w:cs="Times New Roman"/>
          <w:b w:val="0"/>
          <w:bCs w:val="0"/>
          <w:color w:val="000000" w:themeColor="text1"/>
          <w:sz w:val="20"/>
          <w:szCs w:val="20"/>
        </w:rPr>
        <w:t xml:space="preserve"> </w:t>
      </w:r>
      <w:r w:rsidR="003C2AD4" w:rsidRPr="00C664C7">
        <w:rPr>
          <w:rFonts w:ascii="Times New Roman" w:eastAsiaTheme="minorEastAsia" w:hAnsi="Times New Roman" w:cs="Times New Roman"/>
          <w:b w:val="0"/>
          <w:bCs w:val="0"/>
          <w:color w:val="000000" w:themeColor="text1"/>
          <w:sz w:val="20"/>
          <w:szCs w:val="20"/>
        </w:rPr>
        <w:t>chain and feasibility studies</w:t>
      </w:r>
      <w:r w:rsidRPr="00C664C7">
        <w:rPr>
          <w:rFonts w:ascii="Times New Roman" w:eastAsiaTheme="minorEastAsia" w:hAnsi="Times New Roman" w:cs="Times New Roman"/>
          <w:b w:val="0"/>
          <w:bCs w:val="0"/>
          <w:color w:val="000000" w:themeColor="text1"/>
          <w:sz w:val="20"/>
          <w:szCs w:val="20"/>
        </w:rPr>
        <w:t xml:space="preserve">. </w:t>
      </w:r>
      <w:r w:rsidR="006D1595">
        <w:rPr>
          <w:rFonts w:ascii="Times New Roman" w:eastAsiaTheme="minorEastAsia" w:hAnsi="Times New Roman" w:cs="Times New Roman"/>
          <w:b w:val="0"/>
          <w:bCs w:val="0"/>
          <w:color w:val="000000" w:themeColor="text1"/>
          <w:sz w:val="20"/>
          <w:szCs w:val="20"/>
        </w:rPr>
        <w:t xml:space="preserve">Potential areas for further study </w:t>
      </w:r>
      <w:r w:rsidRPr="00C664C7">
        <w:rPr>
          <w:rFonts w:ascii="Times New Roman" w:eastAsiaTheme="minorEastAsia" w:hAnsi="Times New Roman" w:cs="Times New Roman"/>
          <w:b w:val="0"/>
          <w:bCs w:val="0"/>
          <w:color w:val="000000" w:themeColor="text1"/>
          <w:sz w:val="20"/>
          <w:szCs w:val="20"/>
        </w:rPr>
        <w:t xml:space="preserve">include </w:t>
      </w:r>
      <w:r w:rsidR="003C2AD4" w:rsidRPr="00C664C7">
        <w:rPr>
          <w:rFonts w:ascii="Times New Roman" w:eastAsiaTheme="minorEastAsia" w:hAnsi="Times New Roman" w:cs="Times New Roman"/>
          <w:b w:val="0"/>
          <w:bCs w:val="0"/>
          <w:color w:val="000000" w:themeColor="text1"/>
          <w:sz w:val="20"/>
          <w:szCs w:val="20"/>
        </w:rPr>
        <w:t>cooperative aggregation, improved quality consistency, producer-level recordkeeping, storage improvement</w:t>
      </w:r>
      <w:r w:rsidR="00C303C4" w:rsidRPr="00C664C7">
        <w:rPr>
          <w:rFonts w:ascii="Times New Roman" w:eastAsiaTheme="minorEastAsia" w:hAnsi="Times New Roman" w:cs="Times New Roman"/>
          <w:b w:val="0"/>
          <w:bCs w:val="0"/>
          <w:color w:val="000000" w:themeColor="text1"/>
          <w:sz w:val="20"/>
          <w:szCs w:val="20"/>
        </w:rPr>
        <w:t>s</w:t>
      </w:r>
      <w:r w:rsidR="003C2AD4" w:rsidRPr="00C664C7">
        <w:rPr>
          <w:rFonts w:ascii="Times New Roman" w:eastAsiaTheme="minorEastAsia" w:hAnsi="Times New Roman" w:cs="Times New Roman"/>
          <w:b w:val="0"/>
          <w:bCs w:val="0"/>
          <w:color w:val="000000" w:themeColor="text1"/>
          <w:sz w:val="20"/>
          <w:szCs w:val="20"/>
        </w:rPr>
        <w:t>, traceability systems, and stronger linkages with institutional buyers. Collective action can help smallholders address coordination problems, reduce transaction costs, and improve market access</w:t>
      </w:r>
      <w:r w:rsidRPr="00C664C7">
        <w:rPr>
          <w:rFonts w:ascii="Times New Roman" w:eastAsiaTheme="minorEastAsia" w:hAnsi="Times New Roman" w:cs="Times New Roman"/>
          <w:b w:val="0"/>
          <w:bCs w:val="0"/>
          <w:color w:val="000000" w:themeColor="text1"/>
          <w:sz w:val="20"/>
          <w:szCs w:val="20"/>
        </w:rPr>
        <w:t>,</w:t>
      </w:r>
      <w:r w:rsidR="003C2AD4" w:rsidRPr="00C664C7">
        <w:rPr>
          <w:rFonts w:ascii="Times New Roman" w:eastAsiaTheme="minorEastAsia" w:hAnsi="Times New Roman" w:cs="Times New Roman"/>
          <w:b w:val="0"/>
          <w:bCs w:val="0"/>
          <w:color w:val="000000" w:themeColor="text1"/>
          <w:sz w:val="20"/>
          <w:szCs w:val="20"/>
        </w:rPr>
        <w:t xml:space="preserve"> </w:t>
      </w:r>
      <w:r w:rsidRPr="00C664C7">
        <w:rPr>
          <w:rFonts w:ascii="Times New Roman" w:eastAsiaTheme="minorEastAsia" w:hAnsi="Times New Roman" w:cs="Times New Roman"/>
          <w:b w:val="0"/>
          <w:bCs w:val="0"/>
          <w:color w:val="000000" w:themeColor="text1"/>
          <w:sz w:val="20"/>
          <w:szCs w:val="20"/>
        </w:rPr>
        <w:t xml:space="preserve">especially when they are </w:t>
      </w:r>
      <w:r w:rsidR="003C2AD4" w:rsidRPr="00C664C7">
        <w:rPr>
          <w:rFonts w:ascii="Times New Roman" w:eastAsiaTheme="minorEastAsia" w:hAnsi="Times New Roman" w:cs="Times New Roman"/>
          <w:b w:val="0"/>
          <w:bCs w:val="0"/>
          <w:color w:val="000000" w:themeColor="text1"/>
          <w:sz w:val="20"/>
          <w:szCs w:val="20"/>
        </w:rPr>
        <w:t xml:space="preserve">supported by appropriate institutional arrangements and external facilitation (Markelova et al. 2009). For salt producers, this suggests that strengthening </w:t>
      </w:r>
      <w:r w:rsidR="00C303C4" w:rsidRPr="00C664C7">
        <w:rPr>
          <w:rFonts w:ascii="Times New Roman" w:eastAsiaTheme="minorEastAsia" w:hAnsi="Times New Roman" w:cs="Times New Roman"/>
          <w:b w:val="0"/>
          <w:bCs w:val="0"/>
          <w:color w:val="000000" w:themeColor="text1"/>
          <w:sz w:val="20"/>
          <w:szCs w:val="20"/>
        </w:rPr>
        <w:t xml:space="preserve">cooperation </w:t>
      </w:r>
      <w:r w:rsidR="003C2AD4" w:rsidRPr="00C664C7">
        <w:rPr>
          <w:rFonts w:ascii="Times New Roman" w:eastAsiaTheme="minorEastAsia" w:hAnsi="Times New Roman" w:cs="Times New Roman"/>
          <w:b w:val="0"/>
          <w:bCs w:val="0"/>
          <w:color w:val="000000" w:themeColor="text1"/>
          <w:sz w:val="20"/>
          <w:szCs w:val="20"/>
        </w:rPr>
        <w:t>should be studied not simply as an organizational goal but as a po</w:t>
      </w:r>
      <w:r w:rsidR="00C303C4" w:rsidRPr="00C664C7">
        <w:rPr>
          <w:rFonts w:ascii="Times New Roman" w:eastAsiaTheme="minorEastAsia" w:hAnsi="Times New Roman" w:cs="Times New Roman"/>
          <w:b w:val="0"/>
          <w:bCs w:val="0"/>
          <w:color w:val="000000" w:themeColor="text1"/>
          <w:sz w:val="20"/>
          <w:szCs w:val="20"/>
        </w:rPr>
        <w:t>tential</w:t>
      </w:r>
      <w:r w:rsidR="003C2AD4" w:rsidRPr="00C664C7">
        <w:rPr>
          <w:rFonts w:ascii="Times New Roman" w:eastAsiaTheme="minorEastAsia" w:hAnsi="Times New Roman" w:cs="Times New Roman"/>
          <w:b w:val="0"/>
          <w:bCs w:val="0"/>
          <w:color w:val="000000" w:themeColor="text1"/>
          <w:sz w:val="20"/>
          <w:szCs w:val="20"/>
        </w:rPr>
        <w:t xml:space="preserve"> mechanism for aggregation, quality control, negotiation, and access to formal buyers.</w:t>
      </w:r>
    </w:p>
    <w:p w14:paraId="34EC3CBB" w14:textId="24E8E2C9" w:rsidR="00571D1F" w:rsidRPr="00F4763B" w:rsidRDefault="003C2AD4" w:rsidP="00F4763B">
      <w:pPr>
        <w:pStyle w:val="Heading1"/>
        <w:keepNext w:val="0"/>
        <w:keepLines w:val="0"/>
        <w:spacing w:before="0" w:line="480" w:lineRule="auto"/>
        <w:ind w:firstLine="567"/>
        <w:jc w:val="both"/>
        <w:rPr>
          <w:rFonts w:ascii="Times New Roman" w:eastAsiaTheme="minorEastAsia" w:hAnsi="Times New Roman" w:cs="Times New Roman"/>
          <w:b w:val="0"/>
          <w:bCs w:val="0"/>
          <w:color w:val="000000" w:themeColor="text1"/>
          <w:sz w:val="20"/>
          <w:szCs w:val="20"/>
        </w:rPr>
      </w:pPr>
      <w:r w:rsidRPr="00C664C7">
        <w:rPr>
          <w:rFonts w:ascii="Times New Roman" w:eastAsiaTheme="minorEastAsia" w:hAnsi="Times New Roman" w:cs="Times New Roman"/>
          <w:b w:val="0"/>
          <w:bCs w:val="0"/>
          <w:color w:val="000000" w:themeColor="text1"/>
          <w:sz w:val="20"/>
          <w:szCs w:val="20"/>
        </w:rPr>
        <w:t xml:space="preserve">Overall, the findings </w:t>
      </w:r>
      <w:r w:rsidR="00007FA4">
        <w:rPr>
          <w:rFonts w:ascii="Times New Roman" w:eastAsiaTheme="minorEastAsia" w:hAnsi="Times New Roman" w:cs="Times New Roman"/>
          <w:b w:val="0"/>
          <w:bCs w:val="0"/>
          <w:color w:val="000000" w:themeColor="text1"/>
          <w:sz w:val="20"/>
          <w:szCs w:val="20"/>
        </w:rPr>
        <w:t>show</w:t>
      </w:r>
      <w:r w:rsidR="006B484D" w:rsidRPr="00C664C7">
        <w:rPr>
          <w:rFonts w:ascii="Times New Roman" w:eastAsiaTheme="minorEastAsia" w:hAnsi="Times New Roman" w:cs="Times New Roman"/>
          <w:b w:val="0"/>
          <w:bCs w:val="0"/>
          <w:color w:val="000000" w:themeColor="text1"/>
          <w:sz w:val="20"/>
          <w:szCs w:val="20"/>
        </w:rPr>
        <w:t>ed that</w:t>
      </w:r>
      <w:r w:rsidRPr="00C664C7">
        <w:rPr>
          <w:rFonts w:ascii="Times New Roman" w:eastAsiaTheme="minorEastAsia" w:hAnsi="Times New Roman" w:cs="Times New Roman"/>
          <w:b w:val="0"/>
          <w:bCs w:val="0"/>
          <w:color w:val="000000" w:themeColor="text1"/>
          <w:sz w:val="20"/>
          <w:szCs w:val="20"/>
        </w:rPr>
        <w:t xml:space="preserve"> selected Philippine salt-producing communities retain strong experiential knowledge and diverse production practices</w:t>
      </w:r>
      <w:r w:rsidR="006B484D" w:rsidRPr="00C664C7">
        <w:rPr>
          <w:rFonts w:ascii="Times New Roman" w:eastAsiaTheme="minorEastAsia" w:hAnsi="Times New Roman" w:cs="Times New Roman"/>
          <w:b w:val="0"/>
          <w:bCs w:val="0"/>
          <w:color w:val="000000" w:themeColor="text1"/>
          <w:sz w:val="20"/>
          <w:szCs w:val="20"/>
        </w:rPr>
        <w:t>. Yet</w:t>
      </w:r>
      <w:r w:rsidRPr="00C664C7">
        <w:rPr>
          <w:rFonts w:ascii="Times New Roman" w:eastAsiaTheme="minorEastAsia" w:hAnsi="Times New Roman" w:cs="Times New Roman"/>
          <w:b w:val="0"/>
          <w:bCs w:val="0"/>
          <w:color w:val="000000" w:themeColor="text1"/>
          <w:sz w:val="20"/>
          <w:szCs w:val="20"/>
        </w:rPr>
        <w:t xml:space="preserve"> they face </w:t>
      </w:r>
      <w:r w:rsidR="006B484D" w:rsidRPr="00C664C7">
        <w:rPr>
          <w:rFonts w:ascii="Times New Roman" w:eastAsiaTheme="minorEastAsia" w:hAnsi="Times New Roman" w:cs="Times New Roman"/>
          <w:b w:val="0"/>
          <w:bCs w:val="0"/>
          <w:color w:val="000000" w:themeColor="text1"/>
          <w:sz w:val="20"/>
          <w:szCs w:val="20"/>
        </w:rPr>
        <w:t xml:space="preserve">various </w:t>
      </w:r>
      <w:r w:rsidRPr="00C664C7">
        <w:rPr>
          <w:rFonts w:ascii="Times New Roman" w:eastAsiaTheme="minorEastAsia" w:hAnsi="Times New Roman" w:cs="Times New Roman"/>
          <w:b w:val="0"/>
          <w:bCs w:val="0"/>
          <w:color w:val="000000" w:themeColor="text1"/>
          <w:sz w:val="20"/>
          <w:szCs w:val="20"/>
        </w:rPr>
        <w:t>practical constraints related to climate-sensitive production, post-harvest handling, storage, and market linkages.</w:t>
      </w:r>
      <w:r w:rsidR="00571D1F" w:rsidRPr="00571D1F">
        <w:t xml:space="preserve"> </w:t>
      </w:r>
      <w:r w:rsidR="00571D1F" w:rsidRPr="00571D1F">
        <w:rPr>
          <w:rFonts w:ascii="Times New Roman" w:eastAsiaTheme="minorEastAsia" w:hAnsi="Times New Roman" w:cs="Times New Roman"/>
          <w:b w:val="0"/>
          <w:bCs w:val="0"/>
          <w:color w:val="000000" w:themeColor="text1"/>
          <w:sz w:val="20"/>
          <w:szCs w:val="20"/>
        </w:rPr>
        <w:t>The study provides baseline evidence</w:t>
      </w:r>
      <w:r w:rsidR="00571D1F">
        <w:rPr>
          <w:rFonts w:ascii="Times New Roman" w:eastAsiaTheme="minorEastAsia" w:hAnsi="Times New Roman" w:cs="Times New Roman"/>
          <w:b w:val="0"/>
          <w:bCs w:val="0"/>
          <w:color w:val="000000" w:themeColor="text1"/>
          <w:sz w:val="20"/>
          <w:szCs w:val="20"/>
        </w:rPr>
        <w:t xml:space="preserve"> for </w:t>
      </w:r>
      <w:r w:rsidR="00571D1F" w:rsidRPr="00571D1F">
        <w:rPr>
          <w:rFonts w:ascii="Times New Roman" w:eastAsiaTheme="minorEastAsia" w:hAnsi="Times New Roman" w:cs="Times New Roman"/>
          <w:b w:val="0"/>
          <w:bCs w:val="0"/>
          <w:color w:val="000000" w:themeColor="text1"/>
          <w:sz w:val="20"/>
          <w:szCs w:val="20"/>
        </w:rPr>
        <w:t>prioritiz</w:t>
      </w:r>
      <w:r w:rsidR="00571D1F">
        <w:rPr>
          <w:rFonts w:ascii="Times New Roman" w:eastAsiaTheme="minorEastAsia" w:hAnsi="Times New Roman" w:cs="Times New Roman"/>
          <w:b w:val="0"/>
          <w:bCs w:val="0"/>
          <w:color w:val="000000" w:themeColor="text1"/>
          <w:sz w:val="20"/>
          <w:szCs w:val="20"/>
        </w:rPr>
        <w:t>ing</w:t>
      </w:r>
      <w:r w:rsidR="00571D1F" w:rsidRPr="00571D1F">
        <w:rPr>
          <w:rFonts w:ascii="Times New Roman" w:eastAsiaTheme="minorEastAsia" w:hAnsi="Times New Roman" w:cs="Times New Roman"/>
          <w:b w:val="0"/>
          <w:bCs w:val="0"/>
          <w:color w:val="000000" w:themeColor="text1"/>
          <w:sz w:val="20"/>
          <w:szCs w:val="20"/>
        </w:rPr>
        <w:t xml:space="preserve"> climate-resilient infrastructure, storage support, appropriate technology transfer, </w:t>
      </w:r>
      <w:r w:rsidR="00571D1F">
        <w:rPr>
          <w:rFonts w:ascii="Times New Roman" w:eastAsiaTheme="minorEastAsia" w:hAnsi="Times New Roman" w:cs="Times New Roman"/>
          <w:b w:val="0"/>
          <w:bCs w:val="0"/>
          <w:color w:val="000000" w:themeColor="text1"/>
          <w:sz w:val="20"/>
          <w:szCs w:val="20"/>
        </w:rPr>
        <w:t xml:space="preserve">improved </w:t>
      </w:r>
      <w:r w:rsidR="00571D1F" w:rsidRPr="00571D1F">
        <w:rPr>
          <w:rFonts w:ascii="Times New Roman" w:eastAsiaTheme="minorEastAsia" w:hAnsi="Times New Roman" w:cs="Times New Roman"/>
          <w:b w:val="0"/>
          <w:bCs w:val="0"/>
          <w:color w:val="000000" w:themeColor="text1"/>
          <w:sz w:val="20"/>
          <w:szCs w:val="20"/>
        </w:rPr>
        <w:t xml:space="preserve">packaging </w:t>
      </w:r>
      <w:r w:rsidR="00571D1F">
        <w:rPr>
          <w:rFonts w:ascii="Times New Roman" w:eastAsiaTheme="minorEastAsia" w:hAnsi="Times New Roman" w:cs="Times New Roman"/>
          <w:b w:val="0"/>
          <w:bCs w:val="0"/>
          <w:color w:val="000000" w:themeColor="text1"/>
          <w:sz w:val="20"/>
          <w:szCs w:val="20"/>
        </w:rPr>
        <w:t xml:space="preserve">and </w:t>
      </w:r>
      <w:r w:rsidR="00571D1F" w:rsidRPr="00571D1F">
        <w:rPr>
          <w:rFonts w:ascii="Times New Roman" w:eastAsiaTheme="minorEastAsia" w:hAnsi="Times New Roman" w:cs="Times New Roman"/>
          <w:b w:val="0"/>
          <w:bCs w:val="0"/>
          <w:color w:val="000000" w:themeColor="text1"/>
          <w:sz w:val="20"/>
          <w:szCs w:val="20"/>
        </w:rPr>
        <w:t xml:space="preserve">traceability, tenure-related </w:t>
      </w:r>
      <w:r w:rsidR="00571D1F">
        <w:rPr>
          <w:rFonts w:ascii="Times New Roman" w:eastAsiaTheme="minorEastAsia" w:hAnsi="Times New Roman" w:cs="Times New Roman"/>
          <w:b w:val="0"/>
          <w:bCs w:val="0"/>
          <w:color w:val="000000" w:themeColor="text1"/>
          <w:sz w:val="20"/>
          <w:szCs w:val="20"/>
        </w:rPr>
        <w:t>assistance</w:t>
      </w:r>
      <w:r w:rsidR="00571D1F" w:rsidRPr="00571D1F">
        <w:rPr>
          <w:rFonts w:ascii="Times New Roman" w:eastAsiaTheme="minorEastAsia" w:hAnsi="Times New Roman" w:cs="Times New Roman"/>
          <w:b w:val="0"/>
          <w:bCs w:val="0"/>
          <w:color w:val="000000" w:themeColor="text1"/>
          <w:sz w:val="20"/>
          <w:szCs w:val="20"/>
        </w:rPr>
        <w:t xml:space="preserve">, and market-linkage interventions. </w:t>
      </w:r>
      <w:r w:rsidR="00571D1F">
        <w:rPr>
          <w:rFonts w:ascii="Times New Roman" w:eastAsiaTheme="minorEastAsia" w:hAnsi="Times New Roman" w:cs="Times New Roman"/>
          <w:b w:val="0"/>
          <w:bCs w:val="0"/>
          <w:color w:val="000000" w:themeColor="text1"/>
          <w:sz w:val="20"/>
          <w:szCs w:val="20"/>
        </w:rPr>
        <w:t xml:space="preserve">These priorities should be pursued through targeted and evidence-based programs rather than uniform interventions across all provinces. </w:t>
      </w:r>
      <w:r w:rsidR="00571D1F" w:rsidRPr="00571D1F">
        <w:rPr>
          <w:rFonts w:ascii="Times New Roman" w:eastAsiaTheme="minorEastAsia" w:hAnsi="Times New Roman" w:cs="Times New Roman"/>
          <w:b w:val="0"/>
          <w:bCs w:val="0"/>
          <w:color w:val="000000" w:themeColor="text1"/>
          <w:sz w:val="20"/>
          <w:szCs w:val="20"/>
        </w:rPr>
        <w:t>Future research</w:t>
      </w:r>
      <w:r w:rsidR="00571D1F">
        <w:rPr>
          <w:rFonts w:ascii="Times New Roman" w:eastAsiaTheme="minorEastAsia" w:hAnsi="Times New Roman" w:cs="Times New Roman"/>
          <w:b w:val="0"/>
          <w:bCs w:val="0"/>
          <w:color w:val="000000" w:themeColor="text1"/>
          <w:sz w:val="20"/>
          <w:szCs w:val="20"/>
        </w:rPr>
        <w:t xml:space="preserve"> should move beyond descriptive profiling by measuring </w:t>
      </w:r>
      <w:r w:rsidR="00571D1F" w:rsidRPr="00571D1F">
        <w:rPr>
          <w:rFonts w:ascii="Times New Roman" w:eastAsiaTheme="minorEastAsia" w:hAnsi="Times New Roman" w:cs="Times New Roman"/>
          <w:b w:val="0"/>
          <w:bCs w:val="0"/>
          <w:color w:val="000000" w:themeColor="text1"/>
          <w:sz w:val="20"/>
          <w:szCs w:val="20"/>
        </w:rPr>
        <w:t xml:space="preserve">income contribution, employment generation, production volume and value, youth participation, gender roles, </w:t>
      </w:r>
      <w:r w:rsidR="00571D1F">
        <w:rPr>
          <w:rFonts w:ascii="Times New Roman" w:eastAsiaTheme="minorEastAsia" w:hAnsi="Times New Roman" w:cs="Times New Roman"/>
          <w:b w:val="0"/>
          <w:bCs w:val="0"/>
          <w:color w:val="000000" w:themeColor="text1"/>
          <w:sz w:val="20"/>
          <w:szCs w:val="20"/>
        </w:rPr>
        <w:t xml:space="preserve">youth participation, </w:t>
      </w:r>
      <w:r w:rsidR="00571D1F" w:rsidRPr="00571D1F">
        <w:rPr>
          <w:rFonts w:ascii="Times New Roman" w:eastAsiaTheme="minorEastAsia" w:hAnsi="Times New Roman" w:cs="Times New Roman"/>
          <w:b w:val="0"/>
          <w:bCs w:val="0"/>
          <w:color w:val="000000" w:themeColor="text1"/>
          <w:sz w:val="20"/>
          <w:szCs w:val="20"/>
        </w:rPr>
        <w:t>cost-and-return performance,</w:t>
      </w:r>
      <w:r w:rsidR="00571D1F">
        <w:rPr>
          <w:rFonts w:ascii="Times New Roman" w:eastAsiaTheme="minorEastAsia" w:hAnsi="Times New Roman" w:cs="Times New Roman"/>
          <w:b w:val="0"/>
          <w:bCs w:val="0"/>
          <w:color w:val="000000" w:themeColor="text1"/>
          <w:sz w:val="20"/>
          <w:szCs w:val="20"/>
        </w:rPr>
        <w:t xml:space="preserve"> willingness to adopt improved technologies, </w:t>
      </w:r>
      <w:r w:rsidR="00571D1F" w:rsidRPr="00571D1F">
        <w:rPr>
          <w:rFonts w:ascii="Times New Roman" w:eastAsiaTheme="minorEastAsia" w:hAnsi="Times New Roman" w:cs="Times New Roman"/>
          <w:b w:val="0"/>
          <w:bCs w:val="0"/>
          <w:color w:val="000000" w:themeColor="text1"/>
          <w:sz w:val="20"/>
          <w:szCs w:val="20"/>
        </w:rPr>
        <w:t xml:space="preserve">and the effectiveness of specific </w:t>
      </w:r>
      <w:r w:rsidR="00571D1F">
        <w:rPr>
          <w:rFonts w:ascii="Times New Roman" w:eastAsiaTheme="minorEastAsia" w:hAnsi="Times New Roman" w:cs="Times New Roman"/>
          <w:b w:val="0"/>
          <w:bCs w:val="0"/>
          <w:color w:val="000000" w:themeColor="text1"/>
          <w:sz w:val="20"/>
          <w:szCs w:val="20"/>
        </w:rPr>
        <w:t>storage, traceability, and market-linkage interventions</w:t>
      </w:r>
      <w:r w:rsidR="00571D1F" w:rsidRPr="00571D1F">
        <w:rPr>
          <w:rFonts w:ascii="Times New Roman" w:eastAsiaTheme="minorEastAsia" w:hAnsi="Times New Roman" w:cs="Times New Roman"/>
          <w:b w:val="0"/>
          <w:bCs w:val="0"/>
          <w:color w:val="000000" w:themeColor="text1"/>
          <w:sz w:val="20"/>
          <w:szCs w:val="20"/>
        </w:rPr>
        <w:t>.</w:t>
      </w:r>
      <w:r w:rsidRPr="00C664C7">
        <w:rPr>
          <w:rFonts w:ascii="Times New Roman" w:eastAsiaTheme="minorEastAsia" w:hAnsi="Times New Roman" w:cs="Times New Roman"/>
          <w:b w:val="0"/>
          <w:bCs w:val="0"/>
          <w:color w:val="000000" w:themeColor="text1"/>
          <w:sz w:val="20"/>
          <w:szCs w:val="20"/>
        </w:rPr>
        <w:t xml:space="preserve"> </w:t>
      </w:r>
      <w:r w:rsidR="00571D1F">
        <w:rPr>
          <w:rFonts w:ascii="Times New Roman" w:eastAsiaTheme="minorEastAsia" w:hAnsi="Times New Roman" w:cs="Times New Roman"/>
          <w:b w:val="0"/>
          <w:bCs w:val="0"/>
          <w:color w:val="000000" w:themeColor="text1"/>
          <w:sz w:val="20"/>
          <w:szCs w:val="20"/>
        </w:rPr>
        <w:t xml:space="preserve">Such </w:t>
      </w:r>
      <w:r w:rsidRPr="00C664C7">
        <w:rPr>
          <w:rFonts w:ascii="Times New Roman" w:eastAsiaTheme="minorEastAsia" w:hAnsi="Times New Roman" w:cs="Times New Roman"/>
          <w:b w:val="0"/>
          <w:bCs w:val="0"/>
          <w:color w:val="000000" w:themeColor="text1"/>
          <w:sz w:val="20"/>
          <w:szCs w:val="20"/>
        </w:rPr>
        <w:t>evidence</w:t>
      </w:r>
      <w:r w:rsidR="00571D1F">
        <w:rPr>
          <w:rFonts w:ascii="Times New Roman" w:eastAsiaTheme="minorEastAsia" w:hAnsi="Times New Roman" w:cs="Times New Roman"/>
          <w:b w:val="0"/>
          <w:bCs w:val="0"/>
          <w:color w:val="000000" w:themeColor="text1"/>
          <w:sz w:val="20"/>
          <w:szCs w:val="20"/>
        </w:rPr>
        <w:t xml:space="preserve"> will help determine which </w:t>
      </w:r>
      <w:r w:rsidRPr="00C664C7">
        <w:rPr>
          <w:rFonts w:ascii="Times New Roman" w:eastAsiaTheme="minorEastAsia" w:hAnsi="Times New Roman" w:cs="Times New Roman"/>
          <w:b w:val="0"/>
          <w:bCs w:val="0"/>
          <w:color w:val="000000" w:themeColor="text1"/>
          <w:sz w:val="20"/>
          <w:szCs w:val="20"/>
        </w:rPr>
        <w:t>interventions</w:t>
      </w:r>
      <w:r w:rsidR="00571D1F">
        <w:rPr>
          <w:rFonts w:ascii="Times New Roman" w:eastAsiaTheme="minorEastAsia" w:hAnsi="Times New Roman" w:cs="Times New Roman"/>
          <w:b w:val="0"/>
          <w:bCs w:val="0"/>
          <w:color w:val="000000" w:themeColor="text1"/>
          <w:sz w:val="20"/>
          <w:szCs w:val="20"/>
        </w:rPr>
        <w:t xml:space="preserve"> can most effectively strengthen the sustainability, productivity, and market participation of small-scale salt producers.</w:t>
      </w:r>
    </w:p>
    <w:p w14:paraId="450B949A" w14:textId="77777777" w:rsidR="00AA1700" w:rsidRPr="00C664C7" w:rsidRDefault="00000000" w:rsidP="00193DD3">
      <w:pPr>
        <w:pStyle w:val="Heading1"/>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FUNDING</w:t>
      </w:r>
    </w:p>
    <w:p w14:paraId="6850A6EB" w14:textId="77777777" w:rsidR="00AA1700" w:rsidRDefault="00000000" w:rsidP="008523C6">
      <w:pPr>
        <w:spacing w:after="0" w:line="480" w:lineRule="auto"/>
        <w:ind w:firstLine="720"/>
        <w:rPr>
          <w:rFonts w:cs="Times New Roman"/>
          <w:color w:val="000000" w:themeColor="text1"/>
          <w:szCs w:val="20"/>
        </w:rPr>
      </w:pPr>
      <w:r w:rsidRPr="00C664C7">
        <w:rPr>
          <w:rFonts w:cs="Times New Roman"/>
          <w:color w:val="000000" w:themeColor="text1"/>
          <w:szCs w:val="20"/>
        </w:rPr>
        <w:t>This study was funded by the Department of Science and Technology (DOST).</w:t>
      </w:r>
    </w:p>
    <w:p w14:paraId="313BC3D8" w14:textId="77777777" w:rsidR="00F4763B" w:rsidRDefault="00F4763B" w:rsidP="00F4763B">
      <w:pPr>
        <w:spacing w:after="0" w:line="480" w:lineRule="auto"/>
        <w:jc w:val="both"/>
        <w:rPr>
          <w:rFonts w:eastAsia="Times New Roman" w:cs="Times New Roman"/>
          <w:b/>
          <w:bCs/>
          <w:color w:val="000000"/>
          <w:szCs w:val="20"/>
        </w:rPr>
      </w:pPr>
      <w:r>
        <w:rPr>
          <w:rFonts w:eastAsia="Times New Roman" w:cs="Times New Roman"/>
          <w:b/>
          <w:bCs/>
          <w:color w:val="000000"/>
          <w:szCs w:val="20"/>
        </w:rPr>
        <w:t>GENERATIVE AI STATEMENT</w:t>
      </w:r>
    </w:p>
    <w:p w14:paraId="03F57840" w14:textId="718A0D28" w:rsidR="00F4763B" w:rsidRPr="00C664C7" w:rsidRDefault="007814A1" w:rsidP="007814A1">
      <w:pPr>
        <w:spacing w:after="0" w:line="480" w:lineRule="auto"/>
        <w:ind w:firstLine="720"/>
        <w:jc w:val="both"/>
        <w:rPr>
          <w:rFonts w:cs="Times New Roman"/>
          <w:color w:val="000000" w:themeColor="text1"/>
          <w:szCs w:val="20"/>
        </w:rPr>
      </w:pPr>
      <w:r w:rsidRPr="007814A1">
        <w:rPr>
          <w:rFonts w:cs="Times New Roman"/>
          <w:color w:val="000000" w:themeColor="text1"/>
          <w:szCs w:val="20"/>
        </w:rPr>
        <w:t xml:space="preserve">Generative AI (ChatGPT) was used to </w:t>
      </w:r>
      <w:r w:rsidR="001D6120">
        <w:rPr>
          <w:rFonts w:cs="Times New Roman"/>
          <w:color w:val="000000" w:themeColor="text1"/>
          <w:szCs w:val="20"/>
        </w:rPr>
        <w:t>improve</w:t>
      </w:r>
      <w:r w:rsidRPr="007814A1">
        <w:rPr>
          <w:rFonts w:cs="Times New Roman"/>
          <w:color w:val="000000" w:themeColor="text1"/>
          <w:szCs w:val="20"/>
        </w:rPr>
        <w:t xml:space="preserve"> the clarity and concision of the manuscript. The authors reviewed and edited the suggested wording and take full responsibility for the final content.</w:t>
      </w:r>
    </w:p>
    <w:p w14:paraId="79207071" w14:textId="77777777" w:rsidR="00AA1700" w:rsidRPr="00C664C7" w:rsidRDefault="00000000" w:rsidP="00193DD3">
      <w:pPr>
        <w:pStyle w:val="Heading1"/>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ETHICAL CONSIDERATIONS</w:t>
      </w:r>
    </w:p>
    <w:p w14:paraId="6C868E8B" w14:textId="4DBF21D7" w:rsidR="00AA1700" w:rsidRPr="00C664C7" w:rsidRDefault="00000000" w:rsidP="008523C6">
      <w:pPr>
        <w:spacing w:after="0" w:line="480" w:lineRule="auto"/>
        <w:ind w:firstLine="720"/>
        <w:jc w:val="both"/>
        <w:rPr>
          <w:rFonts w:cs="Times New Roman"/>
          <w:color w:val="000000" w:themeColor="text1"/>
          <w:szCs w:val="20"/>
        </w:rPr>
      </w:pPr>
      <w:r w:rsidRPr="00C664C7">
        <w:rPr>
          <w:rFonts w:cs="Times New Roman"/>
          <w:color w:val="000000" w:themeColor="text1"/>
          <w:szCs w:val="20"/>
        </w:rPr>
        <w:t>The study used a pretested survey instrument and field observation protocol. Informed consent was obtained from respondents before the interview</w:t>
      </w:r>
      <w:r w:rsidR="00007FA4">
        <w:rPr>
          <w:rFonts w:cs="Times New Roman"/>
          <w:color w:val="000000" w:themeColor="text1"/>
          <w:szCs w:val="20"/>
        </w:rPr>
        <w:t>s</w:t>
      </w:r>
      <w:r w:rsidRPr="00C664C7">
        <w:rPr>
          <w:rFonts w:cs="Times New Roman"/>
          <w:color w:val="000000" w:themeColor="text1"/>
          <w:szCs w:val="20"/>
        </w:rPr>
        <w:t xml:space="preserve">. Participation was voluntary, confidentiality was maintained, and results were reported in aggregated form. The study was reviewed by the University Research Ethics Review Board of Mariano Marcos State University, and an Ethical Clearance Certificate was secured for the period </w:t>
      </w:r>
      <w:r w:rsidR="00007FA4">
        <w:rPr>
          <w:rFonts w:cs="Times New Roman"/>
          <w:color w:val="000000" w:themeColor="text1"/>
          <w:szCs w:val="20"/>
        </w:rPr>
        <w:t xml:space="preserve">from </w:t>
      </w:r>
      <w:r w:rsidR="00193DD3" w:rsidRPr="00C664C7">
        <w:rPr>
          <w:rFonts w:cs="Times New Roman"/>
          <w:color w:val="000000" w:themeColor="text1"/>
          <w:szCs w:val="20"/>
        </w:rPr>
        <w:t xml:space="preserve">21 </w:t>
      </w:r>
      <w:r w:rsidRPr="00C664C7">
        <w:rPr>
          <w:rFonts w:cs="Times New Roman"/>
          <w:color w:val="000000" w:themeColor="text1"/>
          <w:szCs w:val="20"/>
        </w:rPr>
        <w:t xml:space="preserve">February 2024 to </w:t>
      </w:r>
      <w:r w:rsidR="00193DD3" w:rsidRPr="00C664C7">
        <w:rPr>
          <w:rFonts w:cs="Times New Roman"/>
          <w:color w:val="000000" w:themeColor="text1"/>
          <w:szCs w:val="20"/>
        </w:rPr>
        <w:t xml:space="preserve">21 </w:t>
      </w:r>
      <w:r w:rsidRPr="00C664C7">
        <w:rPr>
          <w:rFonts w:cs="Times New Roman"/>
          <w:color w:val="000000" w:themeColor="text1"/>
          <w:szCs w:val="20"/>
        </w:rPr>
        <w:t>February 2025.</w:t>
      </w:r>
    </w:p>
    <w:p w14:paraId="01174F21" w14:textId="77777777" w:rsidR="00AA1700" w:rsidRPr="00C664C7" w:rsidRDefault="00000000" w:rsidP="00193DD3">
      <w:pPr>
        <w:pStyle w:val="Heading1"/>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DECLARATION OF COMPETING INTEREST</w:t>
      </w:r>
    </w:p>
    <w:p w14:paraId="7643565D" w14:textId="77777777" w:rsidR="00AA1700" w:rsidRPr="00C664C7" w:rsidRDefault="00000000" w:rsidP="008523C6">
      <w:pPr>
        <w:spacing w:after="0" w:line="480" w:lineRule="auto"/>
        <w:ind w:firstLine="720"/>
        <w:rPr>
          <w:rFonts w:cs="Times New Roman"/>
          <w:color w:val="000000" w:themeColor="text1"/>
          <w:szCs w:val="20"/>
        </w:rPr>
      </w:pPr>
      <w:r w:rsidRPr="00C664C7">
        <w:rPr>
          <w:rFonts w:cs="Times New Roman"/>
          <w:color w:val="000000" w:themeColor="text1"/>
          <w:szCs w:val="20"/>
        </w:rPr>
        <w:t>The authors declare that they have no competing interests.</w:t>
      </w:r>
    </w:p>
    <w:p w14:paraId="10552287" w14:textId="77777777" w:rsidR="00AA1700" w:rsidRPr="00C664C7" w:rsidRDefault="00000000" w:rsidP="00193DD3">
      <w:pPr>
        <w:pStyle w:val="Heading1"/>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ACKNOWLEDGMENTS</w:t>
      </w:r>
    </w:p>
    <w:p w14:paraId="3AEADEA2" w14:textId="635099D9" w:rsidR="008523C6" w:rsidRPr="00C664C7" w:rsidRDefault="008523C6" w:rsidP="008523C6">
      <w:pPr>
        <w:spacing w:after="0" w:line="480" w:lineRule="auto"/>
        <w:ind w:firstLine="720"/>
        <w:jc w:val="both"/>
        <w:rPr>
          <w:b/>
          <w:bCs/>
          <w:color w:val="000000" w:themeColor="text1"/>
        </w:rPr>
      </w:pPr>
      <w:r w:rsidRPr="00C664C7">
        <w:rPr>
          <w:color w:val="000000" w:themeColor="text1"/>
        </w:rPr>
        <w:t>The authors extend their heartfelt gratitude to the individuals and agencies for their dedication and invaluable contributions throughout the implementation of this study. Sincere appreciation is also conveyed to the Department of Science and Technology and the Philippine Council for Industry, Energy, and Emerging Technology Research and Development for their guidance and funding support. The authors likewise acknowledge Mariano Marcos State University, Don Mariano Marcos Memorial State University, President Ramon Magsaysay State University, and Pangasinan State University through its ASIN Center for their academic support, technical assistance, and collaborative engagement. Appreciation is further extended to the Bureau of Fisheries and Aquatic Resources, the Bureau of Soils and Water Management, the National Mapping and Resource Information Authority, and the Philippine Atmospheric, Geophysical and Astronomical Services Administration for providing essential data, technical expertise, and regulatory support. Finally, the authors are grateful to the Local Government Units of Region</w:t>
      </w:r>
      <w:r w:rsidR="00007FA4">
        <w:rPr>
          <w:color w:val="000000" w:themeColor="text1"/>
        </w:rPr>
        <w:t>s</w:t>
      </w:r>
      <w:r w:rsidRPr="00C664C7">
        <w:rPr>
          <w:color w:val="000000" w:themeColor="text1"/>
        </w:rPr>
        <w:t xml:space="preserve"> I, III, IV-B, VI, and X, for their cooperation and on-the-ground support. </w:t>
      </w:r>
      <w:r w:rsidR="00571D1F">
        <w:rPr>
          <w:color w:val="000000" w:themeColor="text1"/>
        </w:rPr>
        <w:t xml:space="preserve">Special thanks are extended to the two anonymous reviewers for their careful evaluation, insightful comments, and constructive suggestions, which helped improve the clarity and overall quality of the paper. </w:t>
      </w:r>
      <w:r w:rsidR="00571D1F" w:rsidRPr="00C664C7">
        <w:rPr>
          <w:color w:val="000000" w:themeColor="text1"/>
        </w:rPr>
        <w:t>The collective support and collaboration of these institutions and individuals were invaluable to the successful achievement of the objectives of this study.</w:t>
      </w:r>
    </w:p>
    <w:p w14:paraId="54138FFA" w14:textId="7E812163" w:rsidR="005C4B05" w:rsidRPr="00C664C7" w:rsidRDefault="00000000" w:rsidP="00193DD3">
      <w:pPr>
        <w:pStyle w:val="Heading1"/>
        <w:keepNext w:val="0"/>
        <w:keepLines w:val="0"/>
        <w:spacing w:before="0" w:line="480" w:lineRule="auto"/>
        <w:rPr>
          <w:rFonts w:ascii="Times New Roman" w:hAnsi="Times New Roman" w:cs="Times New Roman"/>
          <w:color w:val="000000" w:themeColor="text1"/>
          <w:sz w:val="20"/>
          <w:szCs w:val="20"/>
        </w:rPr>
      </w:pPr>
      <w:r w:rsidRPr="00C664C7">
        <w:rPr>
          <w:rFonts w:ascii="Times New Roman" w:hAnsi="Times New Roman" w:cs="Times New Roman"/>
          <w:color w:val="000000" w:themeColor="text1"/>
          <w:sz w:val="20"/>
          <w:szCs w:val="20"/>
        </w:rPr>
        <w:t>REFERENCES</w:t>
      </w:r>
    </w:p>
    <w:p w14:paraId="2F8172CD" w14:textId="5B676B52"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Aung MM, Chang YS. 2014. Traceability in a food supply chain: safety and quality perspectives. Food Control. 39:172-184. </w:t>
      </w:r>
      <w:hyperlink r:id="rId32" w:history="1">
        <w:r w:rsidR="00BF6090" w:rsidRPr="00F4763B">
          <w:rPr>
            <w:rStyle w:val="Hyperlink"/>
            <w:rFonts w:cs="Times New Roman"/>
            <w:sz w:val="16"/>
            <w:szCs w:val="16"/>
          </w:rPr>
          <w:t>https://doi.org/10.1016/j.foodcont.2013.11.007</w:t>
        </w:r>
      </w:hyperlink>
    </w:p>
    <w:p w14:paraId="141DF9B1" w14:textId="2345B9AB"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Banicod RJS, Montojo UM, Tadifa GC, Ramos CAM, Peralta DM. 2024. Demographic patterns and socio-economic drivers of salt production in the Philippines. Environmental &amp; Socio-Economic Studies. 12(4):15-29. </w:t>
      </w:r>
      <w:hyperlink r:id="rId33" w:history="1">
        <w:r w:rsidR="00BF6090" w:rsidRPr="00F4763B">
          <w:rPr>
            <w:rStyle w:val="Hyperlink"/>
            <w:rFonts w:cs="Times New Roman"/>
            <w:sz w:val="16"/>
            <w:szCs w:val="16"/>
          </w:rPr>
          <w:t>https://doi.org/10.2478/environ-2024-0022</w:t>
        </w:r>
      </w:hyperlink>
    </w:p>
    <w:p w14:paraId="5D00BF42" w14:textId="5E4FDDBD"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Barba MJB, Delos Reyes JA. 2024. Profitability analysis of solar evaporation and cooking as methods of salt production and iodization of refined salt: The case of Dasol and Infanta, Pangasinan, Philippines. Journal of Agricultural Research, Development, Extension and Technology. 6(1):46-62. </w:t>
      </w:r>
      <w:hyperlink r:id="rId34" w:history="1">
        <w:r w:rsidR="00C729C1" w:rsidRPr="00F4763B">
          <w:rPr>
            <w:rStyle w:val="Hyperlink"/>
            <w:rFonts w:cs="Times New Roman"/>
            <w:sz w:val="16"/>
            <w:szCs w:val="16"/>
          </w:rPr>
          <w:t>https://doi.org/10.5281/zenodo.15099327</w:t>
        </w:r>
      </w:hyperlink>
    </w:p>
    <w:p w14:paraId="00B63D84" w14:textId="77777777"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Codex Alimentarius Commission. 2021. General Standard for the Labelling of Non-Retail Containers of Foods (CXS 346-2021). Rome: FAO/WHO Codex Alimentarius Commission.</w:t>
      </w:r>
    </w:p>
    <w:p w14:paraId="6A62B210" w14:textId="38FA88E8"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EuSalt. 2025. Salt uses: chemical industry [Internet]. Brussels (BE): European Salt Producers Association. [accessed 2026 Apr 30]. </w:t>
      </w:r>
      <w:hyperlink r:id="rId35" w:history="1">
        <w:r w:rsidR="00C729C1" w:rsidRPr="00F4763B">
          <w:rPr>
            <w:rStyle w:val="Hyperlink"/>
            <w:rFonts w:cs="Times New Roman"/>
            <w:sz w:val="16"/>
            <w:szCs w:val="16"/>
          </w:rPr>
          <w:t>https://eusalt.com/about-salt/salt-uses/industry/</w:t>
        </w:r>
      </w:hyperlink>
      <w:r w:rsidR="00C729C1" w:rsidRPr="00F4763B">
        <w:rPr>
          <w:rFonts w:cs="Times New Roman"/>
          <w:color w:val="000000" w:themeColor="text1"/>
          <w:sz w:val="16"/>
          <w:szCs w:val="16"/>
        </w:rPr>
        <w:t xml:space="preserve"> </w:t>
      </w:r>
    </w:p>
    <w:p w14:paraId="10917D38" w14:textId="4D92AB9E" w:rsidR="002C1408" w:rsidRPr="00F4763B" w:rsidRDefault="002C1408"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Lat AT, Depositario DPT, Zapata Jr. N, Delos Reyes JA, Reodica TJI, Manalo CJB. 2024. Assessment of the Economic Effect of Value-Adding Activities in the Production and Marketing System of Salt in Ilocos Norte, Philippines: The Case of Pagnasahan Norte Agas Asin Association. :488.2 kB. [accessed 2026 Apr 30]. </w:t>
      </w:r>
      <w:hyperlink r:id="rId36" w:history="1">
        <w:r w:rsidRPr="00F4763B">
          <w:rPr>
            <w:rStyle w:val="Hyperlink"/>
            <w:rFonts w:cs="Times New Roman"/>
            <w:sz w:val="16"/>
            <w:szCs w:val="16"/>
          </w:rPr>
          <w:t>https://ageconsearch.umn.edu/record/344458</w:t>
        </w:r>
      </w:hyperlink>
      <w:r w:rsidRPr="00F4763B">
        <w:rPr>
          <w:rFonts w:cs="Times New Roman"/>
          <w:color w:val="000000" w:themeColor="text1"/>
          <w:sz w:val="16"/>
          <w:szCs w:val="16"/>
        </w:rPr>
        <w:t>.</w:t>
      </w:r>
    </w:p>
    <w:p w14:paraId="6ACE30CE" w14:textId="4D3EE9C0"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Markelova H, Meinzen-Dick R, Hellin J, Dohrn S. 2009. Collective action for smallholder market access. Food Policy. 34(1):1-7. </w:t>
      </w:r>
      <w:hyperlink r:id="rId37" w:history="1">
        <w:r w:rsidR="002C1408" w:rsidRPr="00F4763B">
          <w:rPr>
            <w:rStyle w:val="Hyperlink"/>
            <w:rFonts w:cs="Times New Roman"/>
            <w:sz w:val="16"/>
            <w:szCs w:val="16"/>
          </w:rPr>
          <w:t>https://doi.org/10.1016/j.foodpol.2008.10.001</w:t>
        </w:r>
      </w:hyperlink>
    </w:p>
    <w:p w14:paraId="0E0803AF" w14:textId="7534BFCC" w:rsidR="002C1408"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Montojo UM, Banicod RJS, Tadifa GC, Tila CA, Baldoza BJS, Tanyag BE, Garcia LM. 2024. Status of the salt industry in the Philippines: production, challenges, and opportunities. The Philippine Journal of Fisheries. 31(1):59-78. </w:t>
      </w:r>
      <w:hyperlink r:id="rId38" w:history="1">
        <w:r w:rsidR="002C1408" w:rsidRPr="00F4763B">
          <w:rPr>
            <w:rStyle w:val="Hyperlink"/>
            <w:rFonts w:cs="Times New Roman"/>
            <w:sz w:val="16"/>
            <w:szCs w:val="16"/>
          </w:rPr>
          <w:t>https://doi.org/10.31398/tpjf/31.1.2023A0008</w:t>
        </w:r>
      </w:hyperlink>
    </w:p>
    <w:p w14:paraId="5E333501" w14:textId="69595791"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Muyot NB, Asuncion CB. 2022. Constraints and challenges of salt farming in Occidental Mindoro, Philippines. Cognizance Journal of Multidisciplinary Studies. 2(6):1-9. </w:t>
      </w:r>
      <w:hyperlink r:id="rId39" w:history="1">
        <w:r w:rsidR="00AB0251" w:rsidRPr="00F4763B">
          <w:rPr>
            <w:rStyle w:val="Hyperlink"/>
            <w:rFonts w:cs="Times New Roman"/>
            <w:sz w:val="16"/>
            <w:szCs w:val="16"/>
          </w:rPr>
          <w:t>https://doi.org/10.47760/cognizance.2022.v02i06.001</w:t>
        </w:r>
      </w:hyperlink>
      <w:r w:rsidR="00AB0251" w:rsidRPr="00F4763B">
        <w:rPr>
          <w:rFonts w:cs="Times New Roman"/>
          <w:color w:val="000000" w:themeColor="text1"/>
          <w:sz w:val="16"/>
          <w:szCs w:val="16"/>
        </w:rPr>
        <w:t xml:space="preserve"> </w:t>
      </w:r>
    </w:p>
    <w:p w14:paraId="6D8556B5" w14:textId="2381471F"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Observatory of Economic Complexity. 2024. Salt in Philippines [Internet]. [accessed 2026 May 2]. </w:t>
      </w:r>
      <w:hyperlink r:id="rId40" w:history="1">
        <w:r w:rsidR="00AB0251" w:rsidRPr="00F4763B">
          <w:rPr>
            <w:rStyle w:val="Hyperlink"/>
            <w:rFonts w:cs="Times New Roman"/>
            <w:sz w:val="16"/>
            <w:szCs w:val="16"/>
          </w:rPr>
          <w:t>https://oec.world/en/profile/bilateral-product/salt/reporter/phl</w:t>
        </w:r>
      </w:hyperlink>
      <w:r w:rsidR="00AB0251" w:rsidRPr="00F4763B">
        <w:rPr>
          <w:rFonts w:cs="Times New Roman"/>
          <w:color w:val="000000" w:themeColor="text1"/>
          <w:sz w:val="16"/>
          <w:szCs w:val="16"/>
        </w:rPr>
        <w:t>.</w:t>
      </w:r>
    </w:p>
    <w:p w14:paraId="2F5C4B73" w14:textId="515336B2"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Patel S. 2024</w:t>
      </w:r>
      <w:r w:rsidR="00AB0251" w:rsidRPr="00F4763B">
        <w:rPr>
          <w:rFonts w:cs="Times New Roman"/>
          <w:color w:val="000000" w:themeColor="text1"/>
          <w:sz w:val="16"/>
          <w:szCs w:val="16"/>
        </w:rPr>
        <w:t>.</w:t>
      </w:r>
      <w:r w:rsidRPr="00F4763B">
        <w:rPr>
          <w:rFonts w:cs="Times New Roman"/>
          <w:color w:val="000000" w:themeColor="text1"/>
          <w:sz w:val="16"/>
          <w:szCs w:val="16"/>
        </w:rPr>
        <w:t xml:space="preserve"> Televisions, fridges and water pumps: why solar power means a brighter future for Gujarat salt farmers. The Guardian</w:t>
      </w:r>
      <w:r w:rsidR="00AB0251" w:rsidRPr="00F4763B">
        <w:rPr>
          <w:rFonts w:cs="Times New Roman"/>
          <w:color w:val="000000" w:themeColor="text1"/>
          <w:sz w:val="16"/>
          <w:szCs w:val="16"/>
        </w:rPr>
        <w:t>.</w:t>
      </w:r>
      <w:r w:rsidRPr="00F4763B">
        <w:rPr>
          <w:rFonts w:cs="Times New Roman"/>
          <w:color w:val="000000" w:themeColor="text1"/>
          <w:sz w:val="16"/>
          <w:szCs w:val="16"/>
        </w:rPr>
        <w:t xml:space="preserve"> [accessed 2026 Apr 30]. </w:t>
      </w:r>
      <w:hyperlink r:id="rId41" w:history="1">
        <w:r w:rsidR="00AB0251" w:rsidRPr="00F4763B">
          <w:rPr>
            <w:rStyle w:val="Hyperlink"/>
            <w:rFonts w:cs="Times New Roman"/>
            <w:sz w:val="16"/>
            <w:szCs w:val="16"/>
          </w:rPr>
          <w:t>https://www.theguardian.com/global-development/article/2024/aug/19/televisions-fridges-and-water-pumps-why-solar-power-means-a-brighter-future-for-gujarats-salt-farmers</w:t>
        </w:r>
      </w:hyperlink>
      <w:r w:rsidR="00AB0251" w:rsidRPr="00F4763B">
        <w:rPr>
          <w:rFonts w:cs="Times New Roman"/>
          <w:color w:val="000000" w:themeColor="text1"/>
          <w:sz w:val="16"/>
          <w:szCs w:val="16"/>
        </w:rPr>
        <w:t>.</w:t>
      </w:r>
    </w:p>
    <w:p w14:paraId="02C751A0" w14:textId="6C285CCA"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Reardon T, Echeverria R, Berdegue J, Minten B, Liverpool-Tasie S, Tschirley D, Zilberman D. 2019. Rapid transformation of food systems in developing regions: highlighting the role of agricultural research and innovations. Agricultural Systems. 172:47-59. </w:t>
      </w:r>
      <w:hyperlink r:id="rId42" w:history="1">
        <w:r w:rsidR="00AB0251" w:rsidRPr="00F4763B">
          <w:rPr>
            <w:rStyle w:val="Hyperlink"/>
            <w:rFonts w:cs="Times New Roman"/>
            <w:sz w:val="16"/>
            <w:szCs w:val="16"/>
          </w:rPr>
          <w:t>https://doi.org/10.1016/j.agsy.2018.01.022</w:t>
        </w:r>
      </w:hyperlink>
    </w:p>
    <w:p w14:paraId="3393083F" w14:textId="3D93D738"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Republic Act No. 11985. 2024. Philippine Salt Industry Development Act. Official Gazette of the Republic of the Philippines. [accessed 2026 May 2]. </w:t>
      </w:r>
      <w:hyperlink r:id="rId43" w:history="1">
        <w:r w:rsidR="00AB0251" w:rsidRPr="00F4763B">
          <w:rPr>
            <w:rStyle w:val="Hyperlink"/>
            <w:rFonts w:cs="Times New Roman"/>
            <w:sz w:val="16"/>
            <w:szCs w:val="16"/>
          </w:rPr>
          <w:t>https://lawphil.net/statutes/repacts/ra2024/ra_11985_2024.html</w:t>
        </w:r>
      </w:hyperlink>
      <w:r w:rsidR="00AB0251" w:rsidRPr="00F4763B">
        <w:rPr>
          <w:rFonts w:cs="Times New Roman"/>
          <w:color w:val="000000" w:themeColor="text1"/>
          <w:sz w:val="16"/>
          <w:szCs w:val="16"/>
        </w:rPr>
        <w:t>.</w:t>
      </w:r>
    </w:p>
    <w:p w14:paraId="2AB0174E" w14:textId="07A78395"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Salt Industry Center of Japan. </w:t>
      </w:r>
      <w:r w:rsidR="00D34462" w:rsidRPr="00F4763B">
        <w:rPr>
          <w:rFonts w:cs="Times New Roman"/>
          <w:color w:val="000000" w:themeColor="text1"/>
          <w:sz w:val="16"/>
          <w:szCs w:val="16"/>
        </w:rPr>
        <w:t>2026</w:t>
      </w:r>
      <w:r w:rsidRPr="00F4763B">
        <w:rPr>
          <w:rFonts w:cs="Times New Roman"/>
          <w:color w:val="000000" w:themeColor="text1"/>
          <w:sz w:val="16"/>
          <w:szCs w:val="16"/>
        </w:rPr>
        <w:t xml:space="preserve">. Salt production method [Internet]. Tokyo (JP): Salt Industry Center of Japan. [accessed 2026 Apr 30]. </w:t>
      </w:r>
      <w:hyperlink r:id="rId44" w:history="1">
        <w:r w:rsidR="00D34462" w:rsidRPr="00F4763B">
          <w:rPr>
            <w:rStyle w:val="Hyperlink"/>
            <w:rFonts w:cs="Times New Roman"/>
            <w:sz w:val="16"/>
            <w:szCs w:val="16"/>
          </w:rPr>
          <w:t>https://www.shiojigyo.com/english/method/</w:t>
        </w:r>
      </w:hyperlink>
    </w:p>
    <w:p w14:paraId="407AE194" w14:textId="77777777" w:rsidR="006C0F09" w:rsidRPr="00F4763B" w:rsidRDefault="006C0F09"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Tan RD, Lizada JC, Delos Reyes JA, Lat AT, Reodica TJI, Manalo CJB. 2022. Value chain analysis of salt in the Visayas Region, Philippines. Journal of the International Society for Southeast Asian Agricultural Sciences. 28(2):62-80.</w:t>
      </w:r>
    </w:p>
    <w:p w14:paraId="1D389438" w14:textId="247E853A" w:rsidR="00D34462" w:rsidRPr="00F4763B" w:rsidRDefault="00D34462" w:rsidP="00C664C7">
      <w:pPr>
        <w:spacing w:after="0" w:line="480" w:lineRule="auto"/>
        <w:ind w:left="567" w:hanging="567"/>
        <w:jc w:val="both"/>
        <w:rPr>
          <w:rFonts w:cs="Times New Roman"/>
          <w:color w:val="000000" w:themeColor="text1"/>
          <w:sz w:val="16"/>
          <w:szCs w:val="16"/>
        </w:rPr>
      </w:pPr>
      <w:r w:rsidRPr="00F4763B">
        <w:rPr>
          <w:rFonts w:cs="Times New Roman"/>
          <w:color w:val="000000" w:themeColor="text1"/>
          <w:sz w:val="16"/>
          <w:szCs w:val="16"/>
        </w:rPr>
        <w:t xml:space="preserve">Ton G. 2008. Challenges for smallholder market access: a review of literature on institutional arrangements in collective marketing. MPRA Paper. [accessed 2026 Sept 15]. </w:t>
      </w:r>
      <w:hyperlink r:id="rId45" w:history="1">
        <w:r w:rsidRPr="00F4763B">
          <w:rPr>
            <w:rStyle w:val="Hyperlink"/>
            <w:rFonts w:cs="Times New Roman"/>
            <w:sz w:val="16"/>
            <w:szCs w:val="16"/>
          </w:rPr>
          <w:t>https://ideas.repec.org//p/pra/mprapa/33329.html</w:t>
        </w:r>
      </w:hyperlink>
      <w:r w:rsidRPr="00F4763B">
        <w:rPr>
          <w:rFonts w:cs="Times New Roman"/>
          <w:color w:val="000000" w:themeColor="text1"/>
          <w:sz w:val="16"/>
          <w:szCs w:val="16"/>
        </w:rPr>
        <w:t xml:space="preserve"> </w:t>
      </w:r>
      <w:r w:rsidRPr="00F4763B" w:rsidDel="00D34462">
        <w:rPr>
          <w:rFonts w:cs="Times New Roman"/>
          <w:color w:val="000000" w:themeColor="text1"/>
          <w:sz w:val="16"/>
          <w:szCs w:val="16"/>
        </w:rPr>
        <w:t xml:space="preserve"> </w:t>
      </w:r>
    </w:p>
    <w:p w14:paraId="2D40E09B" w14:textId="72B1CC4B" w:rsidR="00354E37" w:rsidRPr="00214DA3" w:rsidRDefault="002F0D18" w:rsidP="00F4763B">
      <w:pPr>
        <w:spacing w:after="0" w:line="480" w:lineRule="auto"/>
        <w:jc w:val="both"/>
        <w:rPr>
          <w:rFonts w:cs="Times New Roman"/>
          <w:color w:val="000000" w:themeColor="text1"/>
          <w:szCs w:val="20"/>
        </w:rPr>
      </w:pPr>
      <w:r>
        <w:rPr>
          <w:rFonts w:eastAsia="Times New Roman" w:cs="Times New Roman"/>
          <w:b/>
          <w:bCs/>
          <w:i/>
          <w:iCs/>
          <w:sz w:val="16"/>
          <w:szCs w:val="16"/>
        </w:rPr>
        <w:t xml:space="preserve">ROLE OF AUTHORS: </w:t>
      </w:r>
      <w:r w:rsidRPr="00F4763B">
        <w:rPr>
          <w:rFonts w:eastAsia="Times New Roman" w:cs="Times New Roman"/>
          <w:b/>
          <w:bCs/>
          <w:i/>
          <w:iCs/>
          <w:sz w:val="16"/>
          <w:szCs w:val="16"/>
        </w:rPr>
        <w:t>NRA</w:t>
      </w:r>
      <w:r>
        <w:rPr>
          <w:rFonts w:eastAsia="Times New Roman" w:cs="Times New Roman"/>
          <w:i/>
          <w:iCs/>
          <w:sz w:val="16"/>
          <w:szCs w:val="16"/>
        </w:rPr>
        <w:t xml:space="preserve"> –</w:t>
      </w:r>
      <w:r w:rsidR="00571D1F">
        <w:rPr>
          <w:rFonts w:eastAsia="Times New Roman" w:cs="Times New Roman"/>
          <w:i/>
          <w:iCs/>
          <w:sz w:val="16"/>
          <w:szCs w:val="16"/>
        </w:rPr>
        <w:t>supervision</w:t>
      </w:r>
      <w:r>
        <w:rPr>
          <w:rFonts w:eastAsia="Times New Roman" w:cs="Times New Roman"/>
          <w:i/>
          <w:iCs/>
          <w:sz w:val="16"/>
          <w:szCs w:val="16"/>
        </w:rPr>
        <w:t>, conceptualization, data analysis, and interpretation</w:t>
      </w:r>
      <w:r w:rsidR="00571D1F">
        <w:rPr>
          <w:rFonts w:eastAsia="Times New Roman" w:cs="Times New Roman"/>
          <w:i/>
          <w:iCs/>
          <w:sz w:val="16"/>
          <w:szCs w:val="16"/>
        </w:rPr>
        <w:t>, writing, and editing</w:t>
      </w:r>
      <w:r>
        <w:rPr>
          <w:rFonts w:eastAsia="Times New Roman" w:cs="Times New Roman"/>
          <w:i/>
          <w:iCs/>
          <w:sz w:val="16"/>
          <w:szCs w:val="16"/>
        </w:rPr>
        <w:t xml:space="preserve">; </w:t>
      </w:r>
      <w:r w:rsidRPr="00F4763B">
        <w:rPr>
          <w:rFonts w:eastAsia="Times New Roman" w:cs="Times New Roman"/>
          <w:b/>
          <w:bCs/>
          <w:i/>
          <w:iCs/>
          <w:sz w:val="16"/>
          <w:szCs w:val="16"/>
        </w:rPr>
        <w:t>RTU</w:t>
      </w:r>
      <w:r>
        <w:rPr>
          <w:rFonts w:eastAsia="Times New Roman" w:cs="Times New Roman"/>
          <w:i/>
          <w:iCs/>
          <w:sz w:val="16"/>
          <w:szCs w:val="16"/>
        </w:rPr>
        <w:t xml:space="preserve"> – conceptualization, supervision, coordination, data collection; </w:t>
      </w:r>
      <w:r w:rsidRPr="00F4763B">
        <w:rPr>
          <w:rFonts w:eastAsia="Times New Roman" w:cs="Times New Roman"/>
          <w:b/>
          <w:bCs/>
          <w:i/>
          <w:iCs/>
          <w:sz w:val="16"/>
          <w:szCs w:val="16"/>
        </w:rPr>
        <w:t>SBN</w:t>
      </w:r>
      <w:r>
        <w:rPr>
          <w:rFonts w:eastAsia="Times New Roman" w:cs="Times New Roman"/>
          <w:i/>
          <w:iCs/>
          <w:sz w:val="16"/>
          <w:szCs w:val="16"/>
        </w:rPr>
        <w:t xml:space="preserve"> – data collection, data analysis; </w:t>
      </w:r>
      <w:r w:rsidRPr="00F4763B">
        <w:rPr>
          <w:rFonts w:eastAsia="Times New Roman" w:cs="Times New Roman"/>
          <w:b/>
          <w:bCs/>
          <w:i/>
          <w:iCs/>
          <w:sz w:val="16"/>
          <w:szCs w:val="16"/>
        </w:rPr>
        <w:t>CDV</w:t>
      </w:r>
      <w:r>
        <w:rPr>
          <w:rFonts w:eastAsia="Times New Roman" w:cs="Times New Roman"/>
          <w:i/>
          <w:iCs/>
          <w:sz w:val="16"/>
          <w:szCs w:val="16"/>
        </w:rPr>
        <w:t xml:space="preserve"> – data collection, data analysis, interpretation</w:t>
      </w:r>
      <w:r w:rsidR="00571D1F">
        <w:rPr>
          <w:rFonts w:eastAsia="Times New Roman" w:cs="Times New Roman"/>
          <w:i/>
          <w:iCs/>
          <w:sz w:val="16"/>
          <w:szCs w:val="16"/>
        </w:rPr>
        <w:t>, and editing</w:t>
      </w:r>
      <w:r>
        <w:rPr>
          <w:rFonts w:eastAsia="Times New Roman" w:cs="Times New Roman"/>
          <w:i/>
          <w:iCs/>
          <w:sz w:val="16"/>
          <w:szCs w:val="16"/>
        </w:rPr>
        <w:t xml:space="preserve">; </w:t>
      </w:r>
      <w:r w:rsidRPr="00F4763B">
        <w:rPr>
          <w:rFonts w:eastAsia="Times New Roman" w:cs="Times New Roman"/>
          <w:b/>
          <w:bCs/>
          <w:i/>
          <w:iCs/>
          <w:sz w:val="16"/>
          <w:szCs w:val="16"/>
        </w:rPr>
        <w:t>FCP</w:t>
      </w:r>
      <w:r>
        <w:rPr>
          <w:rFonts w:eastAsia="Times New Roman" w:cs="Times New Roman"/>
          <w:i/>
          <w:iCs/>
          <w:sz w:val="16"/>
          <w:szCs w:val="16"/>
        </w:rPr>
        <w:t xml:space="preserve"> – data collection and field validation; </w:t>
      </w:r>
      <w:r w:rsidRPr="00F4763B">
        <w:rPr>
          <w:rFonts w:eastAsia="Times New Roman" w:cs="Times New Roman"/>
          <w:b/>
          <w:bCs/>
          <w:i/>
          <w:iCs/>
          <w:sz w:val="16"/>
          <w:szCs w:val="16"/>
        </w:rPr>
        <w:t>JGA</w:t>
      </w:r>
      <w:r>
        <w:rPr>
          <w:rFonts w:eastAsia="Times New Roman" w:cs="Times New Roman"/>
          <w:i/>
          <w:iCs/>
          <w:sz w:val="16"/>
          <w:szCs w:val="16"/>
        </w:rPr>
        <w:t xml:space="preserve"> – data collection and field validation; </w:t>
      </w:r>
      <w:r w:rsidRPr="00F4763B">
        <w:rPr>
          <w:rFonts w:eastAsia="Times New Roman" w:cs="Times New Roman"/>
          <w:b/>
          <w:bCs/>
          <w:i/>
          <w:iCs/>
          <w:sz w:val="16"/>
          <w:szCs w:val="16"/>
        </w:rPr>
        <w:t>JLB</w:t>
      </w:r>
      <w:r>
        <w:rPr>
          <w:rFonts w:eastAsia="Times New Roman" w:cs="Times New Roman"/>
          <w:i/>
          <w:iCs/>
          <w:sz w:val="16"/>
          <w:szCs w:val="16"/>
        </w:rPr>
        <w:t xml:space="preserve"> – data analysis, data collection</w:t>
      </w:r>
      <w:r w:rsidR="00870ED6">
        <w:rPr>
          <w:rFonts w:eastAsia="Times New Roman" w:cs="Times New Roman"/>
          <w:i/>
          <w:iCs/>
          <w:sz w:val="16"/>
          <w:szCs w:val="16"/>
        </w:rPr>
        <w:t>,</w:t>
      </w:r>
      <w:r>
        <w:rPr>
          <w:rFonts w:eastAsia="Times New Roman" w:cs="Times New Roman"/>
          <w:i/>
          <w:iCs/>
          <w:sz w:val="16"/>
          <w:szCs w:val="16"/>
        </w:rPr>
        <w:t xml:space="preserve"> and interpretation; </w:t>
      </w:r>
      <w:r w:rsidRPr="00F4763B">
        <w:rPr>
          <w:rFonts w:eastAsia="Times New Roman" w:cs="Times New Roman"/>
          <w:b/>
          <w:bCs/>
          <w:i/>
          <w:iCs/>
          <w:sz w:val="16"/>
          <w:szCs w:val="16"/>
        </w:rPr>
        <w:t>LCA</w:t>
      </w:r>
      <w:r>
        <w:rPr>
          <w:rFonts w:eastAsia="Times New Roman" w:cs="Times New Roman"/>
          <w:i/>
          <w:iCs/>
          <w:sz w:val="16"/>
          <w:szCs w:val="16"/>
        </w:rPr>
        <w:t xml:space="preserve"> – data collection, data analysis and interpretation, writing, and editing; </w:t>
      </w:r>
      <w:r w:rsidRPr="00F4763B">
        <w:rPr>
          <w:rFonts w:eastAsia="Times New Roman" w:cs="Times New Roman"/>
          <w:b/>
          <w:bCs/>
          <w:i/>
          <w:iCs/>
          <w:sz w:val="16"/>
          <w:szCs w:val="16"/>
        </w:rPr>
        <w:t>CBJ</w:t>
      </w:r>
      <w:r>
        <w:rPr>
          <w:rFonts w:eastAsia="Times New Roman" w:cs="Times New Roman"/>
          <w:i/>
          <w:iCs/>
          <w:sz w:val="16"/>
          <w:szCs w:val="16"/>
        </w:rPr>
        <w:t xml:space="preserve"> – data collection and field validation; </w:t>
      </w:r>
      <w:r w:rsidRPr="00F4763B">
        <w:rPr>
          <w:rFonts w:eastAsia="Times New Roman" w:cs="Times New Roman"/>
          <w:b/>
          <w:bCs/>
          <w:i/>
          <w:iCs/>
          <w:sz w:val="16"/>
          <w:szCs w:val="16"/>
        </w:rPr>
        <w:t>JLP</w:t>
      </w:r>
      <w:r>
        <w:rPr>
          <w:rFonts w:eastAsia="Times New Roman" w:cs="Times New Roman"/>
          <w:i/>
          <w:iCs/>
          <w:sz w:val="16"/>
          <w:szCs w:val="16"/>
        </w:rPr>
        <w:t xml:space="preserve"> – data collection and field validation; </w:t>
      </w:r>
      <w:r w:rsidRPr="00F4763B">
        <w:rPr>
          <w:rFonts w:eastAsia="Times New Roman" w:cs="Times New Roman"/>
          <w:b/>
          <w:bCs/>
          <w:i/>
          <w:iCs/>
          <w:sz w:val="16"/>
          <w:szCs w:val="16"/>
        </w:rPr>
        <w:t>ROA</w:t>
      </w:r>
      <w:r>
        <w:rPr>
          <w:rFonts w:eastAsia="Times New Roman" w:cs="Times New Roman"/>
          <w:i/>
          <w:iCs/>
          <w:sz w:val="16"/>
          <w:szCs w:val="16"/>
        </w:rPr>
        <w:t xml:space="preserve"> – data collection; </w:t>
      </w:r>
      <w:r w:rsidRPr="00F4763B">
        <w:rPr>
          <w:rFonts w:eastAsia="Times New Roman" w:cs="Times New Roman"/>
          <w:b/>
          <w:bCs/>
          <w:i/>
          <w:iCs/>
          <w:sz w:val="16"/>
          <w:szCs w:val="16"/>
        </w:rPr>
        <w:t>SSB</w:t>
      </w:r>
      <w:r>
        <w:rPr>
          <w:rFonts w:eastAsia="Times New Roman" w:cs="Times New Roman"/>
          <w:i/>
          <w:iCs/>
          <w:sz w:val="16"/>
          <w:szCs w:val="16"/>
        </w:rPr>
        <w:t xml:space="preserve"> – data collection; </w:t>
      </w:r>
      <w:r w:rsidRPr="00F4763B">
        <w:rPr>
          <w:rFonts w:eastAsia="Times New Roman" w:cs="Times New Roman"/>
          <w:b/>
          <w:bCs/>
          <w:i/>
          <w:iCs/>
          <w:sz w:val="16"/>
          <w:szCs w:val="16"/>
        </w:rPr>
        <w:t>MBB</w:t>
      </w:r>
      <w:r>
        <w:rPr>
          <w:rFonts w:eastAsia="Times New Roman" w:cs="Times New Roman"/>
          <w:i/>
          <w:iCs/>
          <w:sz w:val="16"/>
          <w:szCs w:val="16"/>
        </w:rPr>
        <w:t xml:space="preserve"> – data collection; </w:t>
      </w:r>
      <w:r w:rsidRPr="00F4763B">
        <w:rPr>
          <w:rFonts w:eastAsia="Times New Roman" w:cs="Times New Roman"/>
          <w:b/>
          <w:bCs/>
          <w:i/>
          <w:iCs/>
          <w:sz w:val="16"/>
          <w:szCs w:val="16"/>
        </w:rPr>
        <w:t>LRG</w:t>
      </w:r>
      <w:r>
        <w:rPr>
          <w:rFonts w:eastAsia="Times New Roman" w:cs="Times New Roman"/>
          <w:i/>
          <w:iCs/>
          <w:sz w:val="16"/>
          <w:szCs w:val="16"/>
        </w:rPr>
        <w:t xml:space="preserve"> – field validation, paper writing, and editing; </w:t>
      </w:r>
      <w:r w:rsidRPr="00F4763B">
        <w:rPr>
          <w:rFonts w:eastAsia="Times New Roman" w:cs="Times New Roman"/>
          <w:b/>
          <w:bCs/>
          <w:i/>
          <w:iCs/>
          <w:sz w:val="16"/>
          <w:szCs w:val="16"/>
        </w:rPr>
        <w:t>MAG</w:t>
      </w:r>
      <w:r>
        <w:rPr>
          <w:rFonts w:eastAsia="Times New Roman" w:cs="Times New Roman"/>
          <w:i/>
          <w:iCs/>
          <w:sz w:val="16"/>
          <w:szCs w:val="16"/>
        </w:rPr>
        <w:t xml:space="preserve"> – data collection, coordination, data analysis, and interpretation; </w:t>
      </w:r>
      <w:r w:rsidRPr="00F4763B">
        <w:rPr>
          <w:rFonts w:eastAsia="Times New Roman" w:cs="Times New Roman"/>
          <w:b/>
          <w:bCs/>
          <w:i/>
          <w:iCs/>
          <w:sz w:val="16"/>
          <w:szCs w:val="16"/>
        </w:rPr>
        <w:t>NRB</w:t>
      </w:r>
      <w:r>
        <w:rPr>
          <w:rFonts w:eastAsia="Times New Roman" w:cs="Times New Roman"/>
          <w:i/>
          <w:iCs/>
          <w:sz w:val="16"/>
          <w:szCs w:val="16"/>
        </w:rPr>
        <w:t xml:space="preserve"> – data collection, interpretation, and field validation; </w:t>
      </w:r>
      <w:r w:rsidRPr="00F4763B">
        <w:rPr>
          <w:rFonts w:eastAsia="Times New Roman" w:cs="Times New Roman"/>
          <w:b/>
          <w:bCs/>
          <w:i/>
          <w:iCs/>
          <w:sz w:val="16"/>
          <w:szCs w:val="16"/>
        </w:rPr>
        <w:t>ABQ</w:t>
      </w:r>
      <w:r>
        <w:rPr>
          <w:rFonts w:eastAsia="Times New Roman" w:cs="Times New Roman"/>
          <w:i/>
          <w:iCs/>
          <w:sz w:val="16"/>
          <w:szCs w:val="16"/>
        </w:rPr>
        <w:t xml:space="preserve"> – data collection and field validation; </w:t>
      </w:r>
      <w:r w:rsidRPr="00F4763B">
        <w:rPr>
          <w:rFonts w:eastAsia="Times New Roman" w:cs="Times New Roman"/>
          <w:b/>
          <w:bCs/>
          <w:i/>
          <w:iCs/>
          <w:sz w:val="16"/>
          <w:szCs w:val="16"/>
        </w:rPr>
        <w:t>MAC</w:t>
      </w:r>
      <w:r>
        <w:rPr>
          <w:rFonts w:eastAsia="Times New Roman" w:cs="Times New Roman"/>
          <w:i/>
          <w:iCs/>
          <w:sz w:val="16"/>
          <w:szCs w:val="16"/>
        </w:rPr>
        <w:t xml:space="preserve"> – data collection</w:t>
      </w:r>
      <w:r w:rsidR="00387710">
        <w:rPr>
          <w:rFonts w:eastAsia="Times New Roman" w:cs="Times New Roman"/>
          <w:i/>
          <w:iCs/>
          <w:sz w:val="16"/>
          <w:szCs w:val="16"/>
        </w:rPr>
        <w:t xml:space="preserve">; </w:t>
      </w:r>
      <w:r w:rsidR="00387710" w:rsidRPr="00387710">
        <w:rPr>
          <w:rFonts w:eastAsia="Times New Roman" w:cs="Times New Roman"/>
          <w:b/>
          <w:bCs/>
          <w:i/>
          <w:iCs/>
          <w:sz w:val="16"/>
          <w:szCs w:val="16"/>
        </w:rPr>
        <w:t>IRV</w:t>
      </w:r>
      <w:r w:rsidR="00387710">
        <w:rPr>
          <w:rFonts w:eastAsia="Times New Roman" w:cs="Times New Roman"/>
          <w:i/>
          <w:iCs/>
          <w:sz w:val="16"/>
          <w:szCs w:val="16"/>
        </w:rPr>
        <w:t xml:space="preserve"> – data collection, writing and editing; </w:t>
      </w:r>
      <w:r w:rsidR="00387710" w:rsidRPr="00387710">
        <w:rPr>
          <w:rFonts w:eastAsia="Times New Roman" w:cs="Times New Roman"/>
          <w:b/>
          <w:bCs/>
          <w:i/>
          <w:iCs/>
          <w:sz w:val="16"/>
          <w:szCs w:val="16"/>
        </w:rPr>
        <w:t>SEP</w:t>
      </w:r>
      <w:r w:rsidR="00387710">
        <w:rPr>
          <w:rFonts w:eastAsia="Times New Roman" w:cs="Times New Roman"/>
          <w:i/>
          <w:iCs/>
          <w:sz w:val="16"/>
          <w:szCs w:val="16"/>
        </w:rPr>
        <w:t xml:space="preserve">- data collection; </w:t>
      </w:r>
      <w:r w:rsidR="00387710" w:rsidRPr="00387710">
        <w:rPr>
          <w:rFonts w:eastAsia="Times New Roman" w:cs="Times New Roman"/>
          <w:b/>
          <w:bCs/>
          <w:i/>
          <w:iCs/>
          <w:sz w:val="16"/>
          <w:szCs w:val="16"/>
        </w:rPr>
        <w:t>WDM</w:t>
      </w:r>
      <w:r w:rsidR="00387710">
        <w:rPr>
          <w:rFonts w:eastAsia="Times New Roman" w:cs="Times New Roman"/>
          <w:i/>
          <w:iCs/>
          <w:sz w:val="16"/>
          <w:szCs w:val="16"/>
        </w:rPr>
        <w:t xml:space="preserve"> -data collection and editing </w:t>
      </w:r>
      <w:r>
        <w:rPr>
          <w:rFonts w:eastAsia="Times New Roman" w:cs="Times New Roman"/>
          <w:i/>
          <w:iCs/>
          <w:sz w:val="16"/>
          <w:szCs w:val="16"/>
        </w:rPr>
        <w:t xml:space="preserve"> </w:t>
      </w:r>
    </w:p>
    <w:sectPr w:rsidR="00354E37" w:rsidRPr="00214DA3" w:rsidSect="00B624E7">
      <w:headerReference w:type="even" r:id="rId46"/>
      <w:headerReference w:type="default" r:id="rId47"/>
      <w:footerReference w:type="even" r:id="rId48"/>
      <w:footerReference w:type="default" r:id="rId49"/>
      <w:headerReference w:type="first" r:id="rId50"/>
      <w:footerReference w:type="first" r:id="rId51"/>
      <w:pgSz w:w="11906" w:h="16838"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3F81" w14:textId="77777777" w:rsidR="006B35D9" w:rsidRDefault="006B35D9" w:rsidP="00B624E7">
      <w:pPr>
        <w:spacing w:after="0" w:line="240" w:lineRule="auto"/>
      </w:pPr>
      <w:r>
        <w:separator/>
      </w:r>
    </w:p>
  </w:endnote>
  <w:endnote w:type="continuationSeparator" w:id="0">
    <w:p w14:paraId="3BEB5B8E" w14:textId="77777777" w:rsidR="006B35D9" w:rsidRDefault="006B35D9" w:rsidP="00B62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597E" w14:textId="77777777" w:rsidR="009C71B7" w:rsidRDefault="009C7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536893"/>
      <w:docPartObj>
        <w:docPartGallery w:val="Page Numbers (Bottom of Page)"/>
        <w:docPartUnique/>
      </w:docPartObj>
    </w:sdtPr>
    <w:sdtEndPr>
      <w:rPr>
        <w:noProof/>
      </w:rPr>
    </w:sdtEndPr>
    <w:sdtContent>
      <w:p w14:paraId="49278FF7" w14:textId="77777777" w:rsidR="00B624E7" w:rsidRDefault="00B624E7">
        <w:pPr>
          <w:pStyle w:val="Footer"/>
          <w:jc w:val="center"/>
        </w:pPr>
      </w:p>
      <w:p w14:paraId="7260C05B" w14:textId="36514D27" w:rsidR="00B624E7" w:rsidRDefault="00B624E7" w:rsidP="00B624E7">
        <w:pPr>
          <w:pBdr>
            <w:top w:val="nil"/>
            <w:left w:val="nil"/>
            <w:bottom w:val="nil"/>
            <w:right w:val="nil"/>
            <w:between w:val="nil"/>
          </w:pBdr>
          <w:tabs>
            <w:tab w:val="center" w:pos="4680"/>
            <w:tab w:val="right" w:pos="9360"/>
          </w:tabs>
          <w:spacing w:after="0" w:line="240" w:lineRule="auto"/>
          <w:rPr>
            <w:rFonts w:eastAsia="Times New Roman" w:cs="Times New Roman"/>
            <w:i/>
            <w:iCs/>
            <w:color w:val="000000"/>
            <w:sz w:val="18"/>
            <w:szCs w:val="18"/>
          </w:rPr>
        </w:pPr>
        <w:r>
          <w:rPr>
            <w:rFonts w:eastAsia="Times New Roman" w:cs="Times New Roman"/>
            <w:i/>
            <w:iCs/>
            <w:color w:val="000000"/>
            <w:sz w:val="18"/>
            <w:szCs w:val="18"/>
          </w:rPr>
          <w:t>The Palawan Scientist</w:t>
        </w:r>
        <w:r w:rsidR="00127E92">
          <w:rPr>
            <w:rFonts w:eastAsia="Times New Roman" w:cs="Times New Roman"/>
            <w:i/>
            <w:iCs/>
            <w:color w:val="000000"/>
            <w:sz w:val="18"/>
            <w:szCs w:val="18"/>
          </w:rPr>
          <w:t>.</w:t>
        </w:r>
        <w:r>
          <w:rPr>
            <w:rFonts w:eastAsia="Times New Roman" w:cs="Times New Roman"/>
            <w:i/>
            <w:iCs/>
            <w:color w:val="000000"/>
            <w:sz w:val="18"/>
            <w:szCs w:val="18"/>
          </w:rPr>
          <w:t xml:space="preserve"> </w:t>
        </w:r>
        <w:r w:rsidR="00127E92">
          <w:rPr>
            <w:rFonts w:eastAsia="Times New Roman" w:cs="Times New Roman"/>
            <w:i/>
            <w:iCs/>
            <w:color w:val="000000"/>
            <w:sz w:val="18"/>
            <w:szCs w:val="18"/>
          </w:rPr>
          <w:t>18</w:t>
        </w:r>
        <w:r>
          <w:rPr>
            <w:rFonts w:eastAsia="Times New Roman" w:cs="Times New Roman"/>
            <w:i/>
            <w:iCs/>
            <w:color w:val="000000"/>
            <w:sz w:val="18"/>
            <w:szCs w:val="18"/>
          </w:rPr>
          <w:t>(</w:t>
        </w:r>
        <w:r w:rsidR="00127E92">
          <w:rPr>
            <w:rFonts w:eastAsia="Times New Roman" w:cs="Times New Roman"/>
            <w:i/>
            <w:iCs/>
            <w:color w:val="000000"/>
            <w:sz w:val="18"/>
            <w:szCs w:val="18"/>
          </w:rPr>
          <w:t>Special Issue 1</w:t>
        </w:r>
        <w:r>
          <w:rPr>
            <w:rFonts w:eastAsia="Times New Roman" w:cs="Times New Roman"/>
            <w:i/>
            <w:iCs/>
            <w:color w:val="000000"/>
            <w:sz w:val="18"/>
            <w:szCs w:val="18"/>
          </w:rPr>
          <w:t>):</w:t>
        </w:r>
        <w:r w:rsidR="00127E92">
          <w:rPr>
            <w:rFonts w:eastAsia="Times New Roman" w:cs="Times New Roman"/>
            <w:i/>
            <w:iCs/>
            <w:color w:val="000000"/>
            <w:sz w:val="18"/>
            <w:szCs w:val="18"/>
          </w:rPr>
          <w:t>in press</w:t>
        </w:r>
      </w:p>
      <w:p w14:paraId="045E9AE7" w14:textId="6809ADED" w:rsidR="00B624E7" w:rsidRPr="00B624E7" w:rsidRDefault="00B624E7" w:rsidP="00B624E7">
        <w:pPr>
          <w:pBdr>
            <w:top w:val="nil"/>
            <w:left w:val="nil"/>
            <w:bottom w:val="nil"/>
            <w:right w:val="nil"/>
            <w:between w:val="nil"/>
          </w:pBdr>
          <w:tabs>
            <w:tab w:val="center" w:pos="4680"/>
            <w:tab w:val="right" w:pos="9360"/>
          </w:tabs>
          <w:spacing w:after="0" w:line="240" w:lineRule="auto"/>
          <w:rPr>
            <w:rFonts w:eastAsia="Times New Roman" w:cs="Times New Roman"/>
            <w:i/>
            <w:iCs/>
            <w:color w:val="000000"/>
            <w:sz w:val="18"/>
            <w:szCs w:val="18"/>
          </w:rPr>
        </w:pPr>
        <w:r>
          <w:rPr>
            <w:rFonts w:eastAsia="Times New Roman" w:cs="Times New Roman"/>
            <w:i/>
            <w:iCs/>
            <w:color w:val="000000"/>
            <w:sz w:val="18"/>
            <w:szCs w:val="18"/>
          </w:rPr>
          <w:t>©</w:t>
        </w:r>
        <w:r w:rsidR="00127E92">
          <w:rPr>
            <w:rFonts w:eastAsia="Times New Roman" w:cs="Times New Roman"/>
            <w:i/>
            <w:iCs/>
            <w:color w:val="000000"/>
            <w:sz w:val="18"/>
            <w:szCs w:val="18"/>
          </w:rPr>
          <w:t>2026</w:t>
        </w:r>
        <w:r>
          <w:rPr>
            <w:rFonts w:eastAsia="Times New Roman" w:cs="Times New Roman"/>
            <w:i/>
            <w:iCs/>
            <w:color w:val="000000"/>
            <w:sz w:val="18"/>
            <w:szCs w:val="18"/>
          </w:rPr>
          <w:t xml:space="preserve"> Western Philippines University</w:t>
        </w:r>
      </w:p>
      <w:p w14:paraId="1DB8B58C" w14:textId="3FCFB676" w:rsidR="00B624E7" w:rsidRDefault="00000000">
        <w:pPr>
          <w:pStyle w:val="Footer"/>
          <w:jc w:val="center"/>
        </w:pPr>
      </w:p>
    </w:sdtContent>
  </w:sdt>
  <w:p w14:paraId="5AEBEC34" w14:textId="77777777" w:rsidR="00B624E7" w:rsidRDefault="00B624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E74B" w14:textId="77777777" w:rsidR="009C71B7" w:rsidRDefault="009C7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699D" w14:textId="77777777" w:rsidR="006B35D9" w:rsidRDefault="006B35D9" w:rsidP="00B624E7">
      <w:pPr>
        <w:spacing w:after="0" w:line="240" w:lineRule="auto"/>
      </w:pPr>
      <w:r>
        <w:separator/>
      </w:r>
    </w:p>
  </w:footnote>
  <w:footnote w:type="continuationSeparator" w:id="0">
    <w:p w14:paraId="54CC9537" w14:textId="77777777" w:rsidR="006B35D9" w:rsidRDefault="006B35D9" w:rsidP="00B62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86B2" w14:textId="374EE669" w:rsidR="009C71B7" w:rsidRDefault="00000000">
    <w:pPr>
      <w:pStyle w:val="Header"/>
    </w:pPr>
    <w:r>
      <w:rPr>
        <w:noProof/>
      </w:rPr>
      <w:pict w14:anchorId="0E964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0475188" o:spid="_x0000_s1026" type="#_x0000_t136" style="position:absolute;margin-left:0;margin-top:0;width:783pt;height:81.6pt;rotation:315;z-index:-251655168;mso-position-horizontal:center;mso-position-horizontal-relative:margin;mso-position-vertical:center;mso-position-vertical-relative:margin" o:allowincell="f" fillcolor="silver" stroked="f">
          <v:fill opacity=".5"/>
          <v:textpath style="font-family:&quot;Times New Roman&quot;;font-size:1in" string="UNCORRECTED PROO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5524" w14:textId="0E80B1C4" w:rsidR="009C71B7" w:rsidRDefault="00000000">
    <w:pPr>
      <w:pStyle w:val="Header"/>
    </w:pPr>
    <w:r>
      <w:rPr>
        <w:noProof/>
      </w:rPr>
      <w:pict w14:anchorId="77E104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0475189" o:spid="_x0000_s1027" type="#_x0000_t136" style="position:absolute;margin-left:0;margin-top:0;width:783pt;height:81.6pt;rotation:315;z-index:-251653120;mso-position-horizontal:center;mso-position-horizontal-relative:margin;mso-position-vertical:center;mso-position-vertical-relative:margin" o:allowincell="f" fillcolor="silver" stroked="f">
          <v:fill opacity=".5"/>
          <v:textpath style="font-family:&quot;Times New Roman&quot;;font-size:1in" string="UNCORRECTED PROO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DE1A" w14:textId="75B8203A" w:rsidR="009C71B7" w:rsidRDefault="00000000">
    <w:pPr>
      <w:pStyle w:val="Header"/>
    </w:pPr>
    <w:r>
      <w:rPr>
        <w:noProof/>
      </w:rPr>
      <w:pict w14:anchorId="5D7893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0475187" o:spid="_x0000_s1025" type="#_x0000_t136" style="position:absolute;margin-left:0;margin-top:0;width:783pt;height:81.6pt;rotation:315;z-index:-251657216;mso-position-horizontal:center;mso-position-horizontal-relative:margin;mso-position-vertical:center;mso-position-vertical-relative:margin" o:allowincell="f" fillcolor="silver" stroked="f">
          <v:fill opacity=".5"/>
          <v:textpath style="font-family:&quot;Times New Roman&quot;;font-size:1in" string="UNCORRECTED PROO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032D1B"/>
    <w:multiLevelType w:val="hybridMultilevel"/>
    <w:tmpl w:val="43C67976"/>
    <w:lvl w:ilvl="0" w:tplc="379A8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F7428F4"/>
    <w:multiLevelType w:val="hybridMultilevel"/>
    <w:tmpl w:val="3710B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8355813">
    <w:abstractNumId w:val="8"/>
  </w:num>
  <w:num w:numId="2" w16cid:durableId="10495310">
    <w:abstractNumId w:val="6"/>
  </w:num>
  <w:num w:numId="3" w16cid:durableId="1661882726">
    <w:abstractNumId w:val="5"/>
  </w:num>
  <w:num w:numId="4" w16cid:durableId="1661150376">
    <w:abstractNumId w:val="4"/>
  </w:num>
  <w:num w:numId="5" w16cid:durableId="1823156869">
    <w:abstractNumId w:val="7"/>
  </w:num>
  <w:num w:numId="6" w16cid:durableId="1753821163">
    <w:abstractNumId w:val="3"/>
  </w:num>
  <w:num w:numId="7" w16cid:durableId="192809333">
    <w:abstractNumId w:val="2"/>
  </w:num>
  <w:num w:numId="8" w16cid:durableId="1149783380">
    <w:abstractNumId w:val="1"/>
  </w:num>
  <w:num w:numId="9" w16cid:durableId="1533301296">
    <w:abstractNumId w:val="0"/>
  </w:num>
  <w:num w:numId="10" w16cid:durableId="618880003">
    <w:abstractNumId w:val="10"/>
  </w:num>
  <w:num w:numId="11" w16cid:durableId="1403602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A0"/>
    <w:rsid w:val="00007FA4"/>
    <w:rsid w:val="00016671"/>
    <w:rsid w:val="000211DD"/>
    <w:rsid w:val="00034616"/>
    <w:rsid w:val="00047B03"/>
    <w:rsid w:val="00053463"/>
    <w:rsid w:val="0006063C"/>
    <w:rsid w:val="000632FF"/>
    <w:rsid w:val="00082ADD"/>
    <w:rsid w:val="00090477"/>
    <w:rsid w:val="00090D3C"/>
    <w:rsid w:val="0009734B"/>
    <w:rsid w:val="000A0ADA"/>
    <w:rsid w:val="000A24F2"/>
    <w:rsid w:val="000B6FD9"/>
    <w:rsid w:val="000C604E"/>
    <w:rsid w:val="000D3CDE"/>
    <w:rsid w:val="000D3CE0"/>
    <w:rsid w:val="000E3DCF"/>
    <w:rsid w:val="000F2FE4"/>
    <w:rsid w:val="00112FA9"/>
    <w:rsid w:val="00127102"/>
    <w:rsid w:val="00127E92"/>
    <w:rsid w:val="00132D0D"/>
    <w:rsid w:val="001460F0"/>
    <w:rsid w:val="00147359"/>
    <w:rsid w:val="0015074B"/>
    <w:rsid w:val="00157E06"/>
    <w:rsid w:val="001701B8"/>
    <w:rsid w:val="00172F84"/>
    <w:rsid w:val="00176122"/>
    <w:rsid w:val="00176D76"/>
    <w:rsid w:val="00193DD3"/>
    <w:rsid w:val="001C3D74"/>
    <w:rsid w:val="001D1DB1"/>
    <w:rsid w:val="001D3F4B"/>
    <w:rsid w:val="001D4611"/>
    <w:rsid w:val="001D6120"/>
    <w:rsid w:val="001F0488"/>
    <w:rsid w:val="001F200D"/>
    <w:rsid w:val="00207A3F"/>
    <w:rsid w:val="00214DA3"/>
    <w:rsid w:val="00221806"/>
    <w:rsid w:val="0023386A"/>
    <w:rsid w:val="00244230"/>
    <w:rsid w:val="002716D4"/>
    <w:rsid w:val="002822CD"/>
    <w:rsid w:val="00287D65"/>
    <w:rsid w:val="00295B42"/>
    <w:rsid w:val="0029639D"/>
    <w:rsid w:val="002C1408"/>
    <w:rsid w:val="002C180D"/>
    <w:rsid w:val="002C4F0A"/>
    <w:rsid w:val="002E63F2"/>
    <w:rsid w:val="002F0D18"/>
    <w:rsid w:val="002F4B7F"/>
    <w:rsid w:val="002F4B8C"/>
    <w:rsid w:val="0030679C"/>
    <w:rsid w:val="00316652"/>
    <w:rsid w:val="003179E3"/>
    <w:rsid w:val="00326F90"/>
    <w:rsid w:val="00331494"/>
    <w:rsid w:val="00354E37"/>
    <w:rsid w:val="0036164D"/>
    <w:rsid w:val="00362396"/>
    <w:rsid w:val="00373B60"/>
    <w:rsid w:val="00377EE3"/>
    <w:rsid w:val="003824F6"/>
    <w:rsid w:val="00387710"/>
    <w:rsid w:val="003A180C"/>
    <w:rsid w:val="003B2E4C"/>
    <w:rsid w:val="003C2AD4"/>
    <w:rsid w:val="003E24E1"/>
    <w:rsid w:val="003E6BAC"/>
    <w:rsid w:val="004039BD"/>
    <w:rsid w:val="0041777F"/>
    <w:rsid w:val="004376D3"/>
    <w:rsid w:val="00440CA3"/>
    <w:rsid w:val="004426AD"/>
    <w:rsid w:val="004539EF"/>
    <w:rsid w:val="00471316"/>
    <w:rsid w:val="00473AFD"/>
    <w:rsid w:val="00481DF9"/>
    <w:rsid w:val="00482105"/>
    <w:rsid w:val="0048723D"/>
    <w:rsid w:val="004A4D2F"/>
    <w:rsid w:val="004C28A5"/>
    <w:rsid w:val="004E2F3F"/>
    <w:rsid w:val="0051063D"/>
    <w:rsid w:val="005153B8"/>
    <w:rsid w:val="005454B0"/>
    <w:rsid w:val="00546723"/>
    <w:rsid w:val="0055462E"/>
    <w:rsid w:val="005571CA"/>
    <w:rsid w:val="0056698F"/>
    <w:rsid w:val="00571D1F"/>
    <w:rsid w:val="0057225B"/>
    <w:rsid w:val="00575B7F"/>
    <w:rsid w:val="00580FCB"/>
    <w:rsid w:val="005B3343"/>
    <w:rsid w:val="005C4B05"/>
    <w:rsid w:val="005D36C1"/>
    <w:rsid w:val="005D7D6C"/>
    <w:rsid w:val="005E0F0A"/>
    <w:rsid w:val="0060339D"/>
    <w:rsid w:val="00604377"/>
    <w:rsid w:val="0061596F"/>
    <w:rsid w:val="00621561"/>
    <w:rsid w:val="0062243F"/>
    <w:rsid w:val="00625CE5"/>
    <w:rsid w:val="006301D0"/>
    <w:rsid w:val="0063164E"/>
    <w:rsid w:val="00647E84"/>
    <w:rsid w:val="00653D09"/>
    <w:rsid w:val="00656E50"/>
    <w:rsid w:val="006A6687"/>
    <w:rsid w:val="006B35D9"/>
    <w:rsid w:val="006B484D"/>
    <w:rsid w:val="006B666F"/>
    <w:rsid w:val="006C0F09"/>
    <w:rsid w:val="006C38D8"/>
    <w:rsid w:val="006C6B5D"/>
    <w:rsid w:val="006D1595"/>
    <w:rsid w:val="007005A5"/>
    <w:rsid w:val="0071799E"/>
    <w:rsid w:val="00726B50"/>
    <w:rsid w:val="00732960"/>
    <w:rsid w:val="00733AC7"/>
    <w:rsid w:val="00733F79"/>
    <w:rsid w:val="0073492E"/>
    <w:rsid w:val="007443DD"/>
    <w:rsid w:val="007528E5"/>
    <w:rsid w:val="007657FE"/>
    <w:rsid w:val="0077377C"/>
    <w:rsid w:val="0077478F"/>
    <w:rsid w:val="00774BD4"/>
    <w:rsid w:val="00776F5F"/>
    <w:rsid w:val="007805FC"/>
    <w:rsid w:val="007814A1"/>
    <w:rsid w:val="00791BAF"/>
    <w:rsid w:val="007A6479"/>
    <w:rsid w:val="007A7EFD"/>
    <w:rsid w:val="007B089E"/>
    <w:rsid w:val="007B5AEE"/>
    <w:rsid w:val="007B6C78"/>
    <w:rsid w:val="007B6E0F"/>
    <w:rsid w:val="007C3743"/>
    <w:rsid w:val="007C6EEF"/>
    <w:rsid w:val="007E2726"/>
    <w:rsid w:val="007F5170"/>
    <w:rsid w:val="00842B44"/>
    <w:rsid w:val="0084629B"/>
    <w:rsid w:val="008523C6"/>
    <w:rsid w:val="00856E21"/>
    <w:rsid w:val="00870ED6"/>
    <w:rsid w:val="00872A11"/>
    <w:rsid w:val="008802E4"/>
    <w:rsid w:val="008809C8"/>
    <w:rsid w:val="0089169A"/>
    <w:rsid w:val="008A7733"/>
    <w:rsid w:val="008B0003"/>
    <w:rsid w:val="008D4D32"/>
    <w:rsid w:val="008E4D99"/>
    <w:rsid w:val="008F08DC"/>
    <w:rsid w:val="009054EA"/>
    <w:rsid w:val="00911F90"/>
    <w:rsid w:val="009168E4"/>
    <w:rsid w:val="00920D6F"/>
    <w:rsid w:val="00922DBA"/>
    <w:rsid w:val="00934508"/>
    <w:rsid w:val="00941051"/>
    <w:rsid w:val="00942560"/>
    <w:rsid w:val="00954B17"/>
    <w:rsid w:val="00957CFF"/>
    <w:rsid w:val="009655E5"/>
    <w:rsid w:val="00982370"/>
    <w:rsid w:val="009900AC"/>
    <w:rsid w:val="009A6A75"/>
    <w:rsid w:val="009C4B08"/>
    <w:rsid w:val="009C71B7"/>
    <w:rsid w:val="009D69C4"/>
    <w:rsid w:val="00A00C1C"/>
    <w:rsid w:val="00A4433A"/>
    <w:rsid w:val="00A5117F"/>
    <w:rsid w:val="00A81AF4"/>
    <w:rsid w:val="00A9593F"/>
    <w:rsid w:val="00AA1700"/>
    <w:rsid w:val="00AA1D8D"/>
    <w:rsid w:val="00AB0251"/>
    <w:rsid w:val="00AB3FD0"/>
    <w:rsid w:val="00AB60E9"/>
    <w:rsid w:val="00AE1DF6"/>
    <w:rsid w:val="00B12F5F"/>
    <w:rsid w:val="00B21100"/>
    <w:rsid w:val="00B2507A"/>
    <w:rsid w:val="00B26DDC"/>
    <w:rsid w:val="00B276C3"/>
    <w:rsid w:val="00B3414E"/>
    <w:rsid w:val="00B36227"/>
    <w:rsid w:val="00B40AFB"/>
    <w:rsid w:val="00B47730"/>
    <w:rsid w:val="00B624E7"/>
    <w:rsid w:val="00B6368A"/>
    <w:rsid w:val="00B77693"/>
    <w:rsid w:val="00BA1C8D"/>
    <w:rsid w:val="00BC7F8D"/>
    <w:rsid w:val="00BD2741"/>
    <w:rsid w:val="00BD3094"/>
    <w:rsid w:val="00BE0B25"/>
    <w:rsid w:val="00BF4A1B"/>
    <w:rsid w:val="00BF6090"/>
    <w:rsid w:val="00C17502"/>
    <w:rsid w:val="00C303C4"/>
    <w:rsid w:val="00C5027A"/>
    <w:rsid w:val="00C63E91"/>
    <w:rsid w:val="00C664C7"/>
    <w:rsid w:val="00C729C1"/>
    <w:rsid w:val="00C818B5"/>
    <w:rsid w:val="00C86003"/>
    <w:rsid w:val="00CB0664"/>
    <w:rsid w:val="00CB2291"/>
    <w:rsid w:val="00CB6B38"/>
    <w:rsid w:val="00CC4989"/>
    <w:rsid w:val="00D00706"/>
    <w:rsid w:val="00D05234"/>
    <w:rsid w:val="00D34462"/>
    <w:rsid w:val="00D64197"/>
    <w:rsid w:val="00D858B4"/>
    <w:rsid w:val="00D85DE6"/>
    <w:rsid w:val="00DB73CD"/>
    <w:rsid w:val="00DF28C1"/>
    <w:rsid w:val="00E0583C"/>
    <w:rsid w:val="00E24685"/>
    <w:rsid w:val="00E26001"/>
    <w:rsid w:val="00E46A93"/>
    <w:rsid w:val="00E80702"/>
    <w:rsid w:val="00EA7115"/>
    <w:rsid w:val="00EB0B98"/>
    <w:rsid w:val="00EF5213"/>
    <w:rsid w:val="00EF52DB"/>
    <w:rsid w:val="00F34F10"/>
    <w:rsid w:val="00F35170"/>
    <w:rsid w:val="00F35C80"/>
    <w:rsid w:val="00F467EF"/>
    <w:rsid w:val="00F4763B"/>
    <w:rsid w:val="00F63A90"/>
    <w:rsid w:val="00F65F64"/>
    <w:rsid w:val="00F739FA"/>
    <w:rsid w:val="00F77A35"/>
    <w:rsid w:val="00F9347E"/>
    <w:rsid w:val="00FB0D00"/>
    <w:rsid w:val="00FB6989"/>
    <w:rsid w:val="00FC03A7"/>
    <w:rsid w:val="00FC693F"/>
    <w:rsid w:val="00FC70F6"/>
    <w:rsid w:val="00FD1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029C6E"/>
  <w14:defaultImageDpi w14:val="300"/>
  <w15:docId w15:val="{F4E72E2C-EB16-4241-9196-B6B1E455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7B6E0F"/>
  </w:style>
  <w:style w:type="character" w:styleId="Hyperlink">
    <w:name w:val="Hyperlink"/>
    <w:basedOn w:val="DefaultParagraphFont"/>
    <w:uiPriority w:val="99"/>
    <w:unhideWhenUsed/>
    <w:rsid w:val="003A180C"/>
    <w:rPr>
      <w:color w:val="0000FF" w:themeColor="hyperlink"/>
      <w:u w:val="single"/>
    </w:rPr>
  </w:style>
  <w:style w:type="character" w:styleId="UnresolvedMention">
    <w:name w:val="Unresolved Mention"/>
    <w:basedOn w:val="DefaultParagraphFont"/>
    <w:uiPriority w:val="99"/>
    <w:semiHidden/>
    <w:unhideWhenUsed/>
    <w:rsid w:val="003A180C"/>
    <w:rPr>
      <w:color w:val="605E5C"/>
      <w:shd w:val="clear" w:color="auto" w:fill="E1DFDD"/>
    </w:rPr>
  </w:style>
  <w:style w:type="character" w:customStyle="1" w:styleId="apple-converted-space">
    <w:name w:val="apple-converted-space"/>
    <w:basedOn w:val="DefaultParagraphFont"/>
    <w:rsid w:val="00C63E91"/>
  </w:style>
  <w:style w:type="paragraph" w:styleId="Revision">
    <w:name w:val="Revision"/>
    <w:hidden/>
    <w:uiPriority w:val="99"/>
    <w:semiHidden/>
    <w:rsid w:val="00B2507A"/>
    <w:pPr>
      <w:spacing w:after="0" w:line="240" w:lineRule="auto"/>
    </w:pPr>
    <w:rPr>
      <w:rFonts w:ascii="Times New Roman" w:hAnsi="Times New Roman"/>
      <w:sz w:val="20"/>
    </w:rPr>
  </w:style>
  <w:style w:type="character" w:styleId="CommentReference">
    <w:name w:val="annotation reference"/>
    <w:basedOn w:val="DefaultParagraphFont"/>
    <w:uiPriority w:val="99"/>
    <w:semiHidden/>
    <w:unhideWhenUsed/>
    <w:rsid w:val="00B21100"/>
    <w:rPr>
      <w:sz w:val="16"/>
      <w:szCs w:val="16"/>
    </w:rPr>
  </w:style>
  <w:style w:type="paragraph" w:styleId="CommentText">
    <w:name w:val="annotation text"/>
    <w:basedOn w:val="Normal"/>
    <w:link w:val="CommentTextChar"/>
    <w:uiPriority w:val="99"/>
    <w:unhideWhenUsed/>
    <w:rsid w:val="00B21100"/>
    <w:pPr>
      <w:spacing w:line="240" w:lineRule="auto"/>
    </w:pPr>
    <w:rPr>
      <w:szCs w:val="20"/>
    </w:rPr>
  </w:style>
  <w:style w:type="character" w:customStyle="1" w:styleId="CommentTextChar">
    <w:name w:val="Comment Text Char"/>
    <w:basedOn w:val="DefaultParagraphFont"/>
    <w:link w:val="CommentText"/>
    <w:uiPriority w:val="99"/>
    <w:rsid w:val="00B2110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21100"/>
    <w:rPr>
      <w:b/>
      <w:bCs/>
    </w:rPr>
  </w:style>
  <w:style w:type="character" w:customStyle="1" w:styleId="CommentSubjectChar">
    <w:name w:val="Comment Subject Char"/>
    <w:basedOn w:val="CommentTextChar"/>
    <w:link w:val="CommentSubject"/>
    <w:uiPriority w:val="99"/>
    <w:semiHidden/>
    <w:rsid w:val="00B21100"/>
    <w:rPr>
      <w:rFonts w:ascii="Times New Roman" w:hAnsi="Times New Roman"/>
      <w:b/>
      <w:bCs/>
      <w:sz w:val="20"/>
      <w:szCs w:val="20"/>
    </w:rPr>
  </w:style>
  <w:style w:type="character" w:styleId="FollowedHyperlink">
    <w:name w:val="FollowedHyperlink"/>
    <w:basedOn w:val="DefaultParagraphFont"/>
    <w:uiPriority w:val="99"/>
    <w:semiHidden/>
    <w:unhideWhenUsed/>
    <w:rsid w:val="002C14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9-0003-5082-290X" TargetMode="External"/><Relationship Id="rId18" Type="http://schemas.openxmlformats.org/officeDocument/2006/relationships/hyperlink" Target="https://orcid.org/0009-0007-7317-0640" TargetMode="External"/><Relationship Id="rId26" Type="http://schemas.openxmlformats.org/officeDocument/2006/relationships/hyperlink" Target="https://orcid.org/0009-0006-0043-1654" TargetMode="External"/><Relationship Id="rId39" Type="http://schemas.openxmlformats.org/officeDocument/2006/relationships/hyperlink" Target="https://doi.org/10.47760/cognizance.2022.v02i06.001" TargetMode="External"/><Relationship Id="rId21" Type="http://schemas.openxmlformats.org/officeDocument/2006/relationships/hyperlink" Target="https://orcid.org/0009-0000-7301-4006" TargetMode="External"/><Relationship Id="rId34" Type="http://schemas.openxmlformats.org/officeDocument/2006/relationships/hyperlink" Target="https://doi.org/10.5281/zenodo.15099327" TargetMode="External"/><Relationship Id="rId42" Type="http://schemas.openxmlformats.org/officeDocument/2006/relationships/hyperlink" Target="https://doi.org/10.1016/j.agsy.2018.01.022"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rcid.org/0009-0002-7817-154X" TargetMode="External"/><Relationship Id="rId29" Type="http://schemas.openxmlformats.org/officeDocument/2006/relationships/hyperlink" Target="https://orcid.org/0009-0006-9400-5735" TargetMode="External"/><Relationship Id="rId11" Type="http://schemas.openxmlformats.org/officeDocument/2006/relationships/hyperlink" Target="https://orcid.org/0009-0006-5597-3645" TargetMode="External"/><Relationship Id="rId24" Type="http://schemas.openxmlformats.org/officeDocument/2006/relationships/hyperlink" Target="https://orcid.org/0009-0003-0991-0545" TargetMode="External"/><Relationship Id="rId32" Type="http://schemas.openxmlformats.org/officeDocument/2006/relationships/hyperlink" Target="https://doi.org/10.1016/j.foodcont.2013.11.007" TargetMode="External"/><Relationship Id="rId37" Type="http://schemas.openxmlformats.org/officeDocument/2006/relationships/hyperlink" Target="https://doi.org/10.1016/j.foodpol.2008.10.001" TargetMode="External"/><Relationship Id="rId40" Type="http://schemas.openxmlformats.org/officeDocument/2006/relationships/hyperlink" Target="https://oec.world/en/profile/bilateral-product/salt/reporter/phl" TargetMode="External"/><Relationship Id="rId45" Type="http://schemas.openxmlformats.org/officeDocument/2006/relationships/hyperlink" Target="https://ideas.repec.org//p/pra/mprapa/33329.html"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orcid.org/0009-0008-8614-4983" TargetMode="External"/><Relationship Id="rId19" Type="http://schemas.openxmlformats.org/officeDocument/2006/relationships/hyperlink" Target="https://orcid.org/0009-0000-9783-7162" TargetMode="External"/><Relationship Id="rId31" Type="http://schemas.openxmlformats.org/officeDocument/2006/relationships/hyperlink" Target="https://doi.org/10.69721/TPS.J.2026.18.SI1.06" TargetMode="External"/><Relationship Id="rId44" Type="http://schemas.openxmlformats.org/officeDocument/2006/relationships/hyperlink" Target="https://www.shiojigyo.com/english/method/"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9-0002-6689-2817" TargetMode="External"/><Relationship Id="rId22" Type="http://schemas.openxmlformats.org/officeDocument/2006/relationships/hyperlink" Target="https://orcid.org/0009-0008-4765-4411" TargetMode="External"/><Relationship Id="rId27" Type="http://schemas.openxmlformats.org/officeDocument/2006/relationships/hyperlink" Target="https://orcid.org/0009-0009-5050-5254" TargetMode="External"/><Relationship Id="rId30" Type="http://schemas.openxmlformats.org/officeDocument/2006/relationships/hyperlink" Target="mailto:nralibuyog@mmsu.edu.ph" TargetMode="External"/><Relationship Id="rId35" Type="http://schemas.openxmlformats.org/officeDocument/2006/relationships/hyperlink" Target="https://eusalt.com/about-salt/salt-uses/industry/" TargetMode="External"/><Relationship Id="rId43" Type="http://schemas.openxmlformats.org/officeDocument/2006/relationships/hyperlink" Target="https://lawphil.net/statutes/repacts/ra2024/ra_11985_2024.html" TargetMode="External"/><Relationship Id="rId48" Type="http://schemas.openxmlformats.org/officeDocument/2006/relationships/footer" Target="footer1.xml"/><Relationship Id="rId8" Type="http://schemas.openxmlformats.org/officeDocument/2006/relationships/hyperlink" Target="https://orcid.org/0000-0001-9010-4935"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orcid.org/0000-0002-0254-8884" TargetMode="External"/><Relationship Id="rId17" Type="http://schemas.openxmlformats.org/officeDocument/2006/relationships/hyperlink" Target="https://orcid.org/0009-0003-3621-6372" TargetMode="External"/><Relationship Id="rId25" Type="http://schemas.openxmlformats.org/officeDocument/2006/relationships/hyperlink" Target="https://orcid.org/0009-0006-4009-4517" TargetMode="External"/><Relationship Id="rId33" Type="http://schemas.openxmlformats.org/officeDocument/2006/relationships/hyperlink" Target="https://doi.org/10.2478/environ-2024-0022" TargetMode="External"/><Relationship Id="rId38" Type="http://schemas.openxmlformats.org/officeDocument/2006/relationships/hyperlink" Target="https://doi.org/10.31398/tpjf/31.1.2023A0008" TargetMode="External"/><Relationship Id="rId46" Type="http://schemas.openxmlformats.org/officeDocument/2006/relationships/header" Target="header1.xml"/><Relationship Id="rId20" Type="http://schemas.openxmlformats.org/officeDocument/2006/relationships/hyperlink" Target="https://orcid.org/0009-0008-8231-7867" TargetMode="External"/><Relationship Id="rId41" Type="http://schemas.openxmlformats.org/officeDocument/2006/relationships/hyperlink" Target="https://www.theguardian.com/global-development/article/2024/aug/19/televisions-fridges-and-water-pumps-why-solar-power-means-a-brighter-future-for-gujarats-salt-farmer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rcid.org/0009-0001-6505-7150" TargetMode="External"/><Relationship Id="rId23" Type="http://schemas.openxmlformats.org/officeDocument/2006/relationships/hyperlink" Target="https://orcid.org/0009-0006-6022-3849" TargetMode="External"/><Relationship Id="rId28" Type="http://schemas.openxmlformats.org/officeDocument/2006/relationships/hyperlink" Target="https://orcid.org/0009-0006-4619-3540" TargetMode="External"/><Relationship Id="rId36" Type="http://schemas.openxmlformats.org/officeDocument/2006/relationships/hyperlink" Target="https://ageconsearch.umn.edu/record/344458"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6237</Words>
  <Characters>35551</Characters>
  <Application>Microsoft Office Word</Application>
  <DocSecurity>0</DocSecurity>
  <Lines>296</Lines>
  <Paragraphs>83</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ABSTRACT</vt:lpstr>
      <vt:lpstr>    Production Systems and Post-Harvest Practices</vt:lpstr>
      <vt:lpstr>    Primary Constraints in Production, Processing, Distribution, and Marketing</vt:lpstr>
      <vt:lpstr>The study provides a descriptive baseline of salt-making practices and constrain</vt:lpstr>
      <vt:lpstr>The demographic pattern is consistent with recent research findings concerning t</vt:lpstr>
      <vt:lpstr>The results regarding respondents’ classification and farm size also indicate th</vt:lpstr>
      <vt:lpstr>The findings on the dominance of solar evaporation production systems are consis</vt:lpstr>
      <vt:lpstr>Post-harvest results indicate limited farm-level packaging differentiation and s</vt:lpstr>
      <vt:lpstr>The lack of storage facilities among 35.3% of respondents is a practical constra</vt:lpstr>
      <vt:lpstr>Moreover, climate- and weather-related risks emerged as the most frequent produc</vt:lpstr>
      <vt:lpstr>Findings on marketing constraints highlight the dominance of limited access to l</vt:lpstr>
      <vt:lpstr>Overall, the findings showed that selected Philippine salt-producing communities</vt:lpstr>
      <vt:lpstr>FUNDING</vt:lpstr>
      <vt:lpstr>ETHICAL CONSIDERATIONS</vt:lpstr>
      <vt:lpstr>DECLARATION OF COMPETING INTEREST</vt:lpstr>
      <vt:lpstr>ACKNOWLEDGMENTS</vt:lpstr>
      <vt:lpstr>REFERENCES</vt:lpstr>
    </vt:vector>
  </TitlesOfParts>
  <Manager/>
  <Company/>
  <LinksUpToDate>false</LinksUpToDate>
  <CharactersWithSpaces>41705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cp:lastModifiedBy>
  <cp:revision>2</cp:revision>
  <cp:lastPrinted>2026-10-29T07:08:00Z</cp:lastPrinted>
  <dcterms:created xsi:type="dcterms:W3CDTF">2026-11-02T23:51:00Z</dcterms:created>
  <dcterms:modified xsi:type="dcterms:W3CDTF">2026-11-02T23:51:00Z</dcterms:modified>
  <cp:category/>
</cp:coreProperties>
</file>